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hAnsi="宋体" w:cs="宋体"/>
          <w:color w:val="000000"/>
          <w:sz w:val="28"/>
        </w:rPr>
      </w:pPr>
    </w:p>
    <w:p>
      <w:pPr>
        <w:wordWrap w:val="0"/>
        <w:spacing w:line="360" w:lineRule="auto"/>
        <w:ind w:right="840" w:firstLine="4337" w:firstLineChars="1800"/>
        <w:rPr>
          <w:rFonts w:ascii="宋体" w:hAnsi="宋体" w:cs="宋体"/>
          <w:b/>
          <w:color w:val="000000"/>
          <w:sz w:val="24"/>
        </w:rPr>
      </w:pPr>
      <w:r>
        <w:rPr>
          <w:rFonts w:hint="eastAsia" w:ascii="宋体" w:hAnsi="宋体" w:cs="宋体"/>
          <w:b/>
          <w:color w:val="000000"/>
          <w:sz w:val="24"/>
        </w:rPr>
        <w:t>甲方合同编号：20211707</w:t>
      </w:r>
    </w:p>
    <w:p>
      <w:pPr>
        <w:spacing w:line="360" w:lineRule="auto"/>
        <w:ind w:right="360"/>
        <w:jc w:val="left"/>
        <w:rPr>
          <w:rFonts w:ascii="宋体" w:hAnsi="宋体" w:cs="宋体"/>
          <w:color w:val="000000"/>
          <w:sz w:val="28"/>
        </w:rPr>
      </w:pPr>
      <w:r>
        <w:rPr>
          <w:rFonts w:hint="eastAsia" w:ascii="宋体" w:hAnsi="宋体" w:cs="宋体"/>
          <w:color w:val="000000"/>
          <w:sz w:val="28"/>
        </w:rPr>
        <w:t xml:space="preserve">                                      </w:t>
      </w:r>
    </w:p>
    <w:p>
      <w:pPr>
        <w:spacing w:line="360" w:lineRule="auto"/>
        <w:rPr>
          <w:rFonts w:ascii="宋体" w:hAnsi="宋体" w:cs="宋体"/>
          <w:color w:val="000000"/>
          <w:sz w:val="28"/>
        </w:rPr>
      </w:pPr>
    </w:p>
    <w:p>
      <w:pPr>
        <w:spacing w:line="360" w:lineRule="auto"/>
        <w:jc w:val="center"/>
        <w:rPr>
          <w:rFonts w:ascii="宋体" w:hAnsi="宋体" w:cs="宋体"/>
          <w:b/>
          <w:color w:val="000000"/>
          <w:sz w:val="48"/>
        </w:rPr>
      </w:pPr>
      <w:r>
        <w:rPr>
          <w:rFonts w:hint="eastAsia" w:ascii="宋体" w:hAnsi="宋体" w:cs="宋体"/>
          <w:b/>
          <w:color w:val="000000"/>
          <w:sz w:val="48"/>
        </w:rPr>
        <w:t>中国石油工程建设有限公司项目</w:t>
      </w:r>
    </w:p>
    <w:p>
      <w:pPr>
        <w:spacing w:line="360" w:lineRule="auto"/>
        <w:jc w:val="center"/>
        <w:rPr>
          <w:rFonts w:ascii="宋体" w:hAnsi="宋体" w:cs="宋体"/>
          <w:b/>
          <w:color w:val="000000"/>
          <w:sz w:val="48"/>
        </w:rPr>
      </w:pPr>
      <w:r>
        <w:rPr>
          <w:rFonts w:hint="eastAsia" w:ascii="宋体" w:hAnsi="宋体" w:cs="宋体"/>
          <w:b/>
          <w:color w:val="000000"/>
          <w:sz w:val="48"/>
        </w:rPr>
        <w:t>安装工程</w:t>
      </w:r>
    </w:p>
    <w:p>
      <w:pPr>
        <w:spacing w:line="360" w:lineRule="auto"/>
        <w:rPr>
          <w:rFonts w:ascii="宋体" w:hAnsi="宋体" w:cs="宋体"/>
          <w:color w:val="000000"/>
          <w:sz w:val="28"/>
        </w:rPr>
      </w:pPr>
    </w:p>
    <w:p>
      <w:pPr>
        <w:spacing w:line="360" w:lineRule="auto"/>
        <w:rPr>
          <w:rFonts w:ascii="宋体" w:hAnsi="宋体" w:cs="宋体"/>
          <w:color w:val="000000"/>
          <w:sz w:val="28"/>
        </w:rPr>
      </w:pPr>
    </w:p>
    <w:p>
      <w:pPr>
        <w:spacing w:line="360" w:lineRule="auto"/>
        <w:rPr>
          <w:rFonts w:ascii="宋体" w:hAnsi="宋体" w:cs="宋体"/>
          <w:color w:val="000000"/>
          <w:sz w:val="28"/>
        </w:rPr>
      </w:pPr>
    </w:p>
    <w:p>
      <w:pPr>
        <w:spacing w:line="360" w:lineRule="auto"/>
        <w:rPr>
          <w:rFonts w:ascii="宋体" w:hAnsi="宋体" w:cs="宋体"/>
          <w:color w:val="000000"/>
          <w:sz w:val="28"/>
        </w:rPr>
      </w:pPr>
    </w:p>
    <w:p>
      <w:pPr>
        <w:spacing w:line="360" w:lineRule="auto"/>
        <w:rPr>
          <w:rFonts w:ascii="宋体" w:hAnsi="宋体" w:cs="宋体"/>
          <w:color w:val="000000"/>
          <w:sz w:val="28"/>
        </w:rPr>
      </w:pPr>
    </w:p>
    <w:p>
      <w:pPr>
        <w:spacing w:line="360" w:lineRule="auto"/>
        <w:rPr>
          <w:rFonts w:ascii="宋体" w:hAnsi="宋体" w:cs="宋体"/>
          <w:color w:val="000000"/>
          <w:sz w:val="28"/>
        </w:rPr>
      </w:pPr>
    </w:p>
    <w:p>
      <w:pPr>
        <w:spacing w:line="360" w:lineRule="auto"/>
        <w:rPr>
          <w:rFonts w:ascii="宋体" w:hAnsi="宋体" w:cs="宋体"/>
          <w:color w:val="000000"/>
          <w:sz w:val="28"/>
        </w:rPr>
      </w:pPr>
    </w:p>
    <w:p>
      <w:pPr>
        <w:spacing w:line="360" w:lineRule="auto"/>
        <w:rPr>
          <w:rFonts w:ascii="宋体" w:hAnsi="宋体" w:cs="宋体"/>
          <w:color w:val="000000"/>
          <w:sz w:val="28"/>
        </w:rPr>
      </w:pPr>
    </w:p>
    <w:p>
      <w:pPr>
        <w:spacing w:line="360" w:lineRule="auto"/>
        <w:rPr>
          <w:rFonts w:ascii="宋体" w:hAnsi="宋体" w:cs="宋体"/>
          <w:color w:val="000000"/>
          <w:sz w:val="28"/>
        </w:rPr>
      </w:pPr>
    </w:p>
    <w:p>
      <w:pPr>
        <w:spacing w:line="360" w:lineRule="auto"/>
        <w:rPr>
          <w:rFonts w:ascii="宋体" w:hAnsi="宋体" w:cs="宋体"/>
          <w:color w:val="000000"/>
          <w:sz w:val="28"/>
        </w:rPr>
      </w:pPr>
    </w:p>
    <w:p>
      <w:pPr>
        <w:spacing w:line="360" w:lineRule="auto"/>
        <w:rPr>
          <w:rFonts w:ascii="宋体" w:hAnsi="宋体" w:cs="宋体"/>
          <w:color w:val="000000"/>
          <w:sz w:val="28"/>
        </w:rPr>
      </w:pPr>
    </w:p>
    <w:p>
      <w:pPr>
        <w:spacing w:line="360" w:lineRule="auto"/>
        <w:jc w:val="center"/>
        <w:rPr>
          <w:rFonts w:ascii="宋体" w:hAnsi="宋体" w:cs="宋体"/>
          <w:color w:val="000000"/>
          <w:sz w:val="28"/>
        </w:rPr>
      </w:pPr>
      <w:r>
        <w:rPr>
          <w:rFonts w:hint="eastAsia" w:ascii="宋体" w:hAnsi="宋体" w:cs="宋体"/>
          <w:color w:val="000000"/>
          <w:sz w:val="28"/>
        </w:rPr>
        <w:t xml:space="preserve">           工程名称：</w:t>
      </w:r>
      <w:r>
        <w:rPr>
          <w:rFonts w:hint="eastAsia" w:ascii="宋体" w:hAnsi="宋体" w:cs="宋体"/>
          <w:color w:val="000000"/>
          <w:sz w:val="28"/>
          <w:szCs w:val="22"/>
        </w:rPr>
        <w:t>中国石油工程建设有限公司项目安装工程</w:t>
      </w:r>
    </w:p>
    <w:p>
      <w:pPr>
        <w:spacing w:line="360" w:lineRule="auto"/>
        <w:rPr>
          <w:rFonts w:ascii="宋体" w:hAnsi="宋体" w:cs="宋体"/>
          <w:color w:val="000000"/>
          <w:sz w:val="28"/>
        </w:rPr>
      </w:pPr>
      <w:r>
        <w:rPr>
          <w:rFonts w:hint="eastAsia" w:ascii="宋体" w:hAnsi="宋体" w:cs="宋体"/>
          <w:color w:val="000000"/>
          <w:sz w:val="28"/>
        </w:rPr>
        <w:t xml:space="preserve">            甲    方：松下制冷（大连）有限公司</w:t>
      </w:r>
    </w:p>
    <w:p>
      <w:pPr>
        <w:spacing w:line="360" w:lineRule="auto"/>
        <w:rPr>
          <w:rFonts w:ascii="宋体" w:hAnsi="宋体" w:cs="宋体"/>
          <w:color w:val="000000"/>
          <w:sz w:val="28"/>
        </w:rPr>
      </w:pPr>
      <w:r>
        <w:rPr>
          <w:rFonts w:hint="eastAsia" w:ascii="宋体" w:hAnsi="宋体" w:cs="宋体"/>
          <w:color w:val="000000"/>
          <w:sz w:val="28"/>
        </w:rPr>
        <w:t xml:space="preserve">            乙    方</w:t>
      </w:r>
      <w:r>
        <w:rPr>
          <w:rFonts w:hint="eastAsia" w:ascii="宋体" w:hAnsi="宋体" w:cs="宋体"/>
          <w:color w:val="000000"/>
          <w:sz w:val="28"/>
          <w:szCs w:val="22"/>
        </w:rPr>
        <w:t xml:space="preserve">：北京三汇能环科技发展有限公司 </w:t>
      </w:r>
      <w:r>
        <w:rPr>
          <w:rFonts w:hint="eastAsia" w:ascii="宋体" w:hAnsi="宋体" w:cs="宋体"/>
          <w:color w:val="000000"/>
          <w:sz w:val="28"/>
        </w:rPr>
        <w:t xml:space="preserve">         </w:t>
      </w:r>
    </w:p>
    <w:p>
      <w:pPr>
        <w:spacing w:line="360" w:lineRule="auto"/>
        <w:rPr>
          <w:rFonts w:ascii="宋体" w:hAnsi="宋体" w:cs="宋体"/>
          <w:color w:val="000000"/>
          <w:sz w:val="28"/>
        </w:rPr>
      </w:pPr>
    </w:p>
    <w:p>
      <w:pPr>
        <w:spacing w:line="360" w:lineRule="auto"/>
        <w:ind w:firstLine="1960" w:firstLineChars="700"/>
        <w:rPr>
          <w:rFonts w:ascii="宋体" w:hAnsi="宋体" w:cs="宋体"/>
          <w:color w:val="000000"/>
          <w:sz w:val="28"/>
        </w:rPr>
      </w:pPr>
      <w:r>
        <w:rPr>
          <w:rFonts w:hint="eastAsia" w:ascii="宋体" w:hAnsi="宋体" w:cs="宋体"/>
          <w:color w:val="000000"/>
          <w:sz w:val="28"/>
        </w:rPr>
        <w:t>签订时间：  2021 年4月13日</w:t>
      </w:r>
    </w:p>
    <w:p>
      <w:pPr>
        <w:spacing w:line="360" w:lineRule="auto"/>
        <w:ind w:firstLine="1960" w:firstLineChars="700"/>
        <w:rPr>
          <w:rFonts w:ascii="宋体" w:hAnsi="宋体" w:cs="宋体"/>
          <w:color w:val="000000"/>
          <w:sz w:val="28"/>
        </w:rPr>
      </w:pPr>
    </w:p>
    <w:p>
      <w:pPr>
        <w:spacing w:line="360" w:lineRule="auto"/>
        <w:rPr>
          <w:rFonts w:ascii="宋体" w:hAnsi="宋体" w:cs="宋体"/>
          <w:color w:val="000000"/>
          <w:sz w:val="44"/>
        </w:rPr>
      </w:pPr>
    </w:p>
    <w:p>
      <w:pPr>
        <w:jc w:val="center"/>
      </w:pPr>
      <w:bookmarkStart w:id="0" w:name="_Toc4990_WPSOffice_Type1"/>
      <w:r>
        <w:rPr>
          <w:rFonts w:ascii="宋体" w:hAnsi="宋体"/>
        </w:rPr>
        <w:t>目录</w:t>
      </w:r>
    </w:p>
    <w:p>
      <w:pPr>
        <w:pStyle w:val="32"/>
        <w:tabs>
          <w:tab w:val="right" w:leader="dot" w:pos="8306"/>
        </w:tabs>
      </w:pPr>
    </w:p>
    <w:p>
      <w:pPr>
        <w:pStyle w:val="32"/>
        <w:tabs>
          <w:tab w:val="right" w:leader="dot" w:pos="8306"/>
        </w:tabs>
        <w:rPr>
          <w:sz w:val="32"/>
          <w:szCs w:val="32"/>
        </w:rPr>
      </w:pPr>
    </w:p>
    <w:p>
      <w:pPr>
        <w:pStyle w:val="32"/>
        <w:tabs>
          <w:tab w:val="right" w:leader="dot" w:pos="8306"/>
        </w:tabs>
        <w:rPr>
          <w:sz w:val="32"/>
          <w:szCs w:val="32"/>
        </w:rPr>
      </w:pPr>
      <w:r>
        <w:fldChar w:fldCharType="begin"/>
      </w:r>
      <w:r>
        <w:instrText xml:space="preserve"> HYPERLINK \l "_Toc2062_WPSOffice_Level1" </w:instrText>
      </w:r>
      <w:r>
        <w:fldChar w:fldCharType="separate"/>
      </w:r>
      <w:r>
        <w:rPr>
          <w:rFonts w:hint="eastAsia" w:ascii="宋体" w:hAnsi="宋体" w:cs="宋体"/>
          <w:sz w:val="32"/>
          <w:szCs w:val="32"/>
        </w:rPr>
        <w:t>第一章  工程概况</w:t>
      </w:r>
      <w:r>
        <w:rPr>
          <w:sz w:val="32"/>
          <w:szCs w:val="32"/>
        </w:rPr>
        <w:tab/>
      </w:r>
      <w:bookmarkStart w:id="1" w:name="_Toc2062_WPSOffice_Level1Page"/>
      <w:r>
        <w:rPr>
          <w:sz w:val="32"/>
          <w:szCs w:val="32"/>
        </w:rPr>
        <w:t>3</w:t>
      </w:r>
      <w:bookmarkEnd w:id="1"/>
      <w:r>
        <w:rPr>
          <w:sz w:val="32"/>
          <w:szCs w:val="32"/>
        </w:rPr>
        <w:fldChar w:fldCharType="end"/>
      </w:r>
    </w:p>
    <w:p>
      <w:pPr>
        <w:pStyle w:val="32"/>
        <w:tabs>
          <w:tab w:val="right" w:leader="dot" w:pos="8306"/>
        </w:tabs>
        <w:rPr>
          <w:sz w:val="32"/>
          <w:szCs w:val="32"/>
        </w:rPr>
      </w:pPr>
    </w:p>
    <w:p>
      <w:pPr>
        <w:pStyle w:val="32"/>
        <w:tabs>
          <w:tab w:val="right" w:leader="dot" w:pos="8306"/>
        </w:tabs>
        <w:rPr>
          <w:sz w:val="32"/>
          <w:szCs w:val="32"/>
        </w:rPr>
      </w:pPr>
      <w:r>
        <w:fldChar w:fldCharType="begin"/>
      </w:r>
      <w:r>
        <w:instrText xml:space="preserve"> HYPERLINK \l "_Toc20532_WPSOffice_Level1" </w:instrText>
      </w:r>
      <w:r>
        <w:fldChar w:fldCharType="separate"/>
      </w:r>
      <w:r>
        <w:rPr>
          <w:rFonts w:hint="eastAsia" w:ascii="宋体" w:hAnsi="宋体" w:cs="宋体"/>
          <w:sz w:val="32"/>
          <w:szCs w:val="32"/>
        </w:rPr>
        <w:t>第二章  合同范围</w:t>
      </w:r>
      <w:r>
        <w:rPr>
          <w:sz w:val="32"/>
          <w:szCs w:val="32"/>
        </w:rPr>
        <w:tab/>
      </w:r>
      <w:bookmarkStart w:id="2" w:name="_Toc20532_WPSOffice_Level1Page"/>
      <w:r>
        <w:rPr>
          <w:sz w:val="32"/>
          <w:szCs w:val="32"/>
        </w:rPr>
        <w:t>3</w:t>
      </w:r>
      <w:bookmarkEnd w:id="2"/>
      <w:r>
        <w:rPr>
          <w:sz w:val="32"/>
          <w:szCs w:val="32"/>
        </w:rPr>
        <w:fldChar w:fldCharType="end"/>
      </w:r>
    </w:p>
    <w:p>
      <w:pPr>
        <w:pStyle w:val="32"/>
        <w:tabs>
          <w:tab w:val="right" w:leader="dot" w:pos="8306"/>
        </w:tabs>
        <w:rPr>
          <w:sz w:val="32"/>
          <w:szCs w:val="32"/>
        </w:rPr>
      </w:pPr>
    </w:p>
    <w:p>
      <w:pPr>
        <w:pStyle w:val="32"/>
        <w:tabs>
          <w:tab w:val="right" w:leader="dot" w:pos="8306"/>
        </w:tabs>
        <w:rPr>
          <w:sz w:val="32"/>
          <w:szCs w:val="32"/>
        </w:rPr>
      </w:pPr>
      <w:r>
        <w:fldChar w:fldCharType="begin"/>
      </w:r>
      <w:r>
        <w:instrText xml:space="preserve"> HYPERLINK \l "_Toc2453_WPSOffice_Level1" </w:instrText>
      </w:r>
      <w:r>
        <w:fldChar w:fldCharType="separate"/>
      </w:r>
      <w:r>
        <w:rPr>
          <w:rFonts w:hint="eastAsia" w:ascii="宋体" w:hAnsi="宋体" w:cs="宋体"/>
          <w:sz w:val="32"/>
          <w:szCs w:val="32"/>
        </w:rPr>
        <w:t>第三章  工程进度</w:t>
      </w:r>
      <w:r>
        <w:rPr>
          <w:sz w:val="32"/>
          <w:szCs w:val="32"/>
        </w:rPr>
        <w:tab/>
      </w:r>
      <w:bookmarkStart w:id="3" w:name="_Toc2453_WPSOffice_Level1Page"/>
      <w:r>
        <w:rPr>
          <w:sz w:val="32"/>
          <w:szCs w:val="32"/>
        </w:rPr>
        <w:t>4</w:t>
      </w:r>
      <w:bookmarkEnd w:id="3"/>
      <w:r>
        <w:rPr>
          <w:sz w:val="32"/>
          <w:szCs w:val="32"/>
        </w:rPr>
        <w:fldChar w:fldCharType="end"/>
      </w:r>
    </w:p>
    <w:p>
      <w:pPr>
        <w:pStyle w:val="32"/>
        <w:tabs>
          <w:tab w:val="right" w:leader="dot" w:pos="8306"/>
        </w:tabs>
        <w:rPr>
          <w:sz w:val="32"/>
          <w:szCs w:val="32"/>
        </w:rPr>
      </w:pPr>
    </w:p>
    <w:p>
      <w:pPr>
        <w:pStyle w:val="32"/>
        <w:tabs>
          <w:tab w:val="right" w:leader="dot" w:pos="8306"/>
        </w:tabs>
        <w:rPr>
          <w:sz w:val="32"/>
          <w:szCs w:val="32"/>
        </w:rPr>
      </w:pPr>
      <w:r>
        <w:fldChar w:fldCharType="begin"/>
      </w:r>
      <w:r>
        <w:instrText xml:space="preserve"> HYPERLINK \l "_Toc16676_WPSOffice_Level1" </w:instrText>
      </w:r>
      <w:r>
        <w:fldChar w:fldCharType="separate"/>
      </w:r>
      <w:r>
        <w:rPr>
          <w:rFonts w:hint="eastAsia" w:ascii="宋体" w:hAnsi="宋体" w:cs="宋体"/>
          <w:sz w:val="32"/>
          <w:szCs w:val="32"/>
        </w:rPr>
        <w:t>第四章  付款方式及发票</w:t>
      </w:r>
      <w:r>
        <w:rPr>
          <w:sz w:val="32"/>
          <w:szCs w:val="32"/>
        </w:rPr>
        <w:tab/>
      </w:r>
      <w:bookmarkStart w:id="4" w:name="_Toc16676_WPSOffice_Level1Page"/>
      <w:r>
        <w:rPr>
          <w:sz w:val="32"/>
          <w:szCs w:val="32"/>
        </w:rPr>
        <w:t>4</w:t>
      </w:r>
      <w:bookmarkEnd w:id="4"/>
      <w:r>
        <w:rPr>
          <w:sz w:val="32"/>
          <w:szCs w:val="32"/>
        </w:rPr>
        <w:fldChar w:fldCharType="end"/>
      </w:r>
    </w:p>
    <w:p>
      <w:pPr>
        <w:pStyle w:val="32"/>
        <w:tabs>
          <w:tab w:val="right" w:leader="dot" w:pos="8306"/>
        </w:tabs>
        <w:rPr>
          <w:sz w:val="32"/>
          <w:szCs w:val="32"/>
        </w:rPr>
      </w:pPr>
    </w:p>
    <w:p>
      <w:pPr>
        <w:pStyle w:val="32"/>
        <w:tabs>
          <w:tab w:val="right" w:leader="dot" w:pos="8306"/>
        </w:tabs>
        <w:rPr>
          <w:sz w:val="32"/>
          <w:szCs w:val="32"/>
        </w:rPr>
      </w:pPr>
      <w:r>
        <w:fldChar w:fldCharType="begin"/>
      </w:r>
      <w:r>
        <w:instrText xml:space="preserve"> HYPERLINK \l "_Toc25553_WPSOffice_Level1" </w:instrText>
      </w:r>
      <w:r>
        <w:fldChar w:fldCharType="separate"/>
      </w:r>
      <w:r>
        <w:rPr>
          <w:rFonts w:hint="eastAsia" w:ascii="宋体" w:hAnsi="宋体" w:cs="宋体"/>
          <w:sz w:val="32"/>
          <w:szCs w:val="32"/>
        </w:rPr>
        <w:t>第五章  变更价款与决算方法</w:t>
      </w:r>
      <w:r>
        <w:rPr>
          <w:sz w:val="32"/>
          <w:szCs w:val="32"/>
        </w:rPr>
        <w:tab/>
      </w:r>
      <w:bookmarkStart w:id="5" w:name="_Toc25553_WPSOffice_Level1Page"/>
      <w:r>
        <w:rPr>
          <w:sz w:val="32"/>
          <w:szCs w:val="32"/>
        </w:rPr>
        <w:t>5</w:t>
      </w:r>
      <w:bookmarkEnd w:id="5"/>
      <w:r>
        <w:rPr>
          <w:sz w:val="32"/>
          <w:szCs w:val="32"/>
        </w:rPr>
        <w:fldChar w:fldCharType="end"/>
      </w:r>
    </w:p>
    <w:p>
      <w:pPr>
        <w:pStyle w:val="32"/>
        <w:tabs>
          <w:tab w:val="right" w:leader="dot" w:pos="8306"/>
        </w:tabs>
        <w:rPr>
          <w:sz w:val="32"/>
          <w:szCs w:val="32"/>
        </w:rPr>
      </w:pPr>
    </w:p>
    <w:p>
      <w:pPr>
        <w:pStyle w:val="32"/>
        <w:tabs>
          <w:tab w:val="right" w:leader="dot" w:pos="8306"/>
        </w:tabs>
        <w:rPr>
          <w:sz w:val="32"/>
          <w:szCs w:val="32"/>
        </w:rPr>
      </w:pPr>
      <w:r>
        <w:fldChar w:fldCharType="begin"/>
      </w:r>
      <w:r>
        <w:instrText xml:space="preserve"> HYPERLINK \l "_Toc624_WPSOffice_Level1" </w:instrText>
      </w:r>
      <w:r>
        <w:fldChar w:fldCharType="separate"/>
      </w:r>
      <w:r>
        <w:rPr>
          <w:rFonts w:hint="eastAsia" w:ascii="宋体" w:hAnsi="宋体" w:cs="宋体"/>
          <w:sz w:val="32"/>
          <w:szCs w:val="32"/>
        </w:rPr>
        <w:t>第六章  验收</w:t>
      </w:r>
      <w:r>
        <w:rPr>
          <w:sz w:val="32"/>
          <w:szCs w:val="32"/>
        </w:rPr>
        <w:tab/>
      </w:r>
      <w:bookmarkStart w:id="6" w:name="_Toc624_WPSOffice_Level1Page"/>
      <w:r>
        <w:rPr>
          <w:sz w:val="32"/>
          <w:szCs w:val="32"/>
        </w:rPr>
        <w:t>5</w:t>
      </w:r>
      <w:bookmarkEnd w:id="6"/>
      <w:r>
        <w:rPr>
          <w:sz w:val="32"/>
          <w:szCs w:val="32"/>
        </w:rPr>
        <w:fldChar w:fldCharType="end"/>
      </w:r>
    </w:p>
    <w:p>
      <w:pPr>
        <w:pStyle w:val="32"/>
        <w:tabs>
          <w:tab w:val="right" w:leader="dot" w:pos="8306"/>
        </w:tabs>
        <w:rPr>
          <w:sz w:val="32"/>
          <w:szCs w:val="32"/>
        </w:rPr>
      </w:pPr>
    </w:p>
    <w:p>
      <w:pPr>
        <w:pStyle w:val="32"/>
        <w:tabs>
          <w:tab w:val="right" w:leader="dot" w:pos="8306"/>
        </w:tabs>
        <w:rPr>
          <w:sz w:val="32"/>
          <w:szCs w:val="32"/>
        </w:rPr>
      </w:pPr>
      <w:r>
        <w:fldChar w:fldCharType="begin"/>
      </w:r>
      <w:r>
        <w:instrText xml:space="preserve"> HYPERLINK \l "_Toc10898_WPSOffice_Level1" </w:instrText>
      </w:r>
      <w:r>
        <w:fldChar w:fldCharType="separate"/>
      </w:r>
      <w:r>
        <w:rPr>
          <w:rFonts w:hint="eastAsia" w:ascii="宋体" w:hAnsi="宋体" w:cs="宋体"/>
          <w:sz w:val="32"/>
          <w:szCs w:val="32"/>
        </w:rPr>
        <w:t>第七章  保修期与售后服务</w:t>
      </w:r>
      <w:r>
        <w:rPr>
          <w:sz w:val="32"/>
          <w:szCs w:val="32"/>
        </w:rPr>
        <w:tab/>
      </w:r>
      <w:bookmarkStart w:id="7" w:name="_Toc10898_WPSOffice_Level1Page"/>
      <w:r>
        <w:rPr>
          <w:sz w:val="32"/>
          <w:szCs w:val="32"/>
        </w:rPr>
        <w:t>5</w:t>
      </w:r>
      <w:bookmarkEnd w:id="7"/>
      <w:r>
        <w:rPr>
          <w:sz w:val="32"/>
          <w:szCs w:val="32"/>
        </w:rPr>
        <w:fldChar w:fldCharType="end"/>
      </w:r>
    </w:p>
    <w:p>
      <w:pPr>
        <w:pStyle w:val="32"/>
        <w:tabs>
          <w:tab w:val="right" w:leader="dot" w:pos="8306"/>
        </w:tabs>
        <w:rPr>
          <w:sz w:val="32"/>
          <w:szCs w:val="32"/>
        </w:rPr>
      </w:pPr>
    </w:p>
    <w:p>
      <w:pPr>
        <w:pStyle w:val="32"/>
        <w:tabs>
          <w:tab w:val="right" w:leader="dot" w:pos="8306"/>
        </w:tabs>
        <w:rPr>
          <w:sz w:val="32"/>
          <w:szCs w:val="32"/>
        </w:rPr>
      </w:pPr>
      <w:r>
        <w:fldChar w:fldCharType="begin"/>
      </w:r>
      <w:r>
        <w:instrText xml:space="preserve"> HYPERLINK \l "_Toc7772_WPSOffice_Level1" </w:instrText>
      </w:r>
      <w:r>
        <w:fldChar w:fldCharType="separate"/>
      </w:r>
      <w:r>
        <w:rPr>
          <w:rFonts w:hint="eastAsia" w:ascii="宋体" w:hAnsi="宋体" w:cs="宋体"/>
          <w:sz w:val="32"/>
          <w:szCs w:val="32"/>
        </w:rPr>
        <w:t>第八章  培训</w:t>
      </w:r>
      <w:r>
        <w:rPr>
          <w:sz w:val="32"/>
          <w:szCs w:val="32"/>
        </w:rPr>
        <w:tab/>
      </w:r>
      <w:bookmarkStart w:id="8" w:name="_Toc7772_WPSOffice_Level1Page"/>
      <w:r>
        <w:rPr>
          <w:sz w:val="32"/>
          <w:szCs w:val="32"/>
        </w:rPr>
        <w:t>6</w:t>
      </w:r>
      <w:bookmarkEnd w:id="8"/>
      <w:r>
        <w:rPr>
          <w:sz w:val="32"/>
          <w:szCs w:val="32"/>
        </w:rPr>
        <w:fldChar w:fldCharType="end"/>
      </w:r>
    </w:p>
    <w:p>
      <w:pPr>
        <w:pStyle w:val="32"/>
        <w:tabs>
          <w:tab w:val="right" w:leader="dot" w:pos="8306"/>
        </w:tabs>
        <w:rPr>
          <w:sz w:val="32"/>
          <w:szCs w:val="32"/>
        </w:rPr>
      </w:pPr>
    </w:p>
    <w:p>
      <w:pPr>
        <w:pStyle w:val="32"/>
        <w:tabs>
          <w:tab w:val="right" w:leader="dot" w:pos="8306"/>
        </w:tabs>
        <w:rPr>
          <w:sz w:val="32"/>
          <w:szCs w:val="32"/>
        </w:rPr>
      </w:pPr>
      <w:r>
        <w:fldChar w:fldCharType="begin"/>
      </w:r>
      <w:r>
        <w:instrText xml:space="preserve"> HYPERLINK \l "_Toc21984_WPSOffice_Level1" </w:instrText>
      </w:r>
      <w:r>
        <w:fldChar w:fldCharType="separate"/>
      </w:r>
      <w:r>
        <w:rPr>
          <w:rFonts w:hint="eastAsia" w:ascii="宋体" w:hAnsi="宋体" w:cs="宋体"/>
          <w:sz w:val="32"/>
          <w:szCs w:val="32"/>
        </w:rPr>
        <w:t>第九章　索赔</w:t>
      </w:r>
      <w:r>
        <w:rPr>
          <w:sz w:val="32"/>
          <w:szCs w:val="32"/>
        </w:rPr>
        <w:tab/>
      </w:r>
      <w:bookmarkStart w:id="9" w:name="_Toc21984_WPSOffice_Level1Page"/>
      <w:r>
        <w:rPr>
          <w:sz w:val="32"/>
          <w:szCs w:val="32"/>
        </w:rPr>
        <w:t>6</w:t>
      </w:r>
      <w:bookmarkEnd w:id="9"/>
      <w:r>
        <w:rPr>
          <w:sz w:val="32"/>
          <w:szCs w:val="32"/>
        </w:rPr>
        <w:fldChar w:fldCharType="end"/>
      </w:r>
    </w:p>
    <w:p>
      <w:pPr>
        <w:pStyle w:val="32"/>
        <w:tabs>
          <w:tab w:val="right" w:leader="dot" w:pos="8306"/>
        </w:tabs>
        <w:rPr>
          <w:sz w:val="32"/>
          <w:szCs w:val="32"/>
        </w:rPr>
      </w:pPr>
    </w:p>
    <w:p>
      <w:pPr>
        <w:pStyle w:val="32"/>
        <w:tabs>
          <w:tab w:val="right" w:leader="dot" w:pos="8306"/>
        </w:tabs>
        <w:rPr>
          <w:sz w:val="32"/>
          <w:szCs w:val="32"/>
        </w:rPr>
      </w:pPr>
      <w:r>
        <w:fldChar w:fldCharType="begin"/>
      </w:r>
      <w:r>
        <w:instrText xml:space="preserve"> HYPERLINK \l "_Toc12379_WPSOffice_Level1" </w:instrText>
      </w:r>
      <w:r>
        <w:fldChar w:fldCharType="separate"/>
      </w:r>
      <w:r>
        <w:rPr>
          <w:rFonts w:hint="eastAsia" w:ascii="宋体" w:hAnsi="宋体" w:cs="宋体"/>
          <w:sz w:val="32"/>
          <w:szCs w:val="32"/>
        </w:rPr>
        <w:t>第十章　争议的解决</w:t>
      </w:r>
      <w:r>
        <w:rPr>
          <w:sz w:val="32"/>
          <w:szCs w:val="32"/>
        </w:rPr>
        <w:tab/>
      </w:r>
      <w:bookmarkStart w:id="10" w:name="_Toc12379_WPSOffice_Level1Page"/>
      <w:r>
        <w:rPr>
          <w:sz w:val="32"/>
          <w:szCs w:val="32"/>
        </w:rPr>
        <w:t>6</w:t>
      </w:r>
      <w:bookmarkEnd w:id="10"/>
      <w:r>
        <w:rPr>
          <w:sz w:val="32"/>
          <w:szCs w:val="32"/>
        </w:rPr>
        <w:fldChar w:fldCharType="end"/>
      </w:r>
    </w:p>
    <w:p>
      <w:pPr>
        <w:pStyle w:val="32"/>
        <w:tabs>
          <w:tab w:val="right" w:leader="dot" w:pos="8306"/>
        </w:tabs>
        <w:rPr>
          <w:sz w:val="32"/>
          <w:szCs w:val="32"/>
        </w:rPr>
      </w:pPr>
    </w:p>
    <w:p>
      <w:pPr>
        <w:pStyle w:val="32"/>
        <w:tabs>
          <w:tab w:val="right" w:leader="dot" w:pos="8306"/>
        </w:tabs>
        <w:rPr>
          <w:sz w:val="32"/>
          <w:szCs w:val="32"/>
        </w:rPr>
      </w:pPr>
      <w:r>
        <w:fldChar w:fldCharType="begin"/>
      </w:r>
      <w:r>
        <w:instrText xml:space="preserve"> HYPERLINK \l "_Toc12482_WPSOffice_Level1" </w:instrText>
      </w:r>
      <w:r>
        <w:fldChar w:fldCharType="separate"/>
      </w:r>
      <w:r>
        <w:rPr>
          <w:rFonts w:hint="eastAsia" w:ascii="宋体" w:hAnsi="宋体" w:cs="宋体"/>
          <w:sz w:val="32"/>
          <w:szCs w:val="32"/>
        </w:rPr>
        <w:t>第十一章  施工安全措施</w:t>
      </w:r>
      <w:r>
        <w:rPr>
          <w:sz w:val="32"/>
          <w:szCs w:val="32"/>
        </w:rPr>
        <w:tab/>
      </w:r>
      <w:bookmarkStart w:id="11" w:name="_Toc12482_WPSOffice_Level1Page"/>
      <w:r>
        <w:rPr>
          <w:sz w:val="32"/>
          <w:szCs w:val="32"/>
        </w:rPr>
        <w:t>6</w:t>
      </w:r>
      <w:bookmarkEnd w:id="11"/>
      <w:r>
        <w:rPr>
          <w:sz w:val="32"/>
          <w:szCs w:val="32"/>
        </w:rPr>
        <w:fldChar w:fldCharType="end"/>
      </w:r>
    </w:p>
    <w:p>
      <w:pPr>
        <w:pStyle w:val="32"/>
        <w:tabs>
          <w:tab w:val="right" w:leader="dot" w:pos="8306"/>
        </w:tabs>
        <w:rPr>
          <w:sz w:val="32"/>
          <w:szCs w:val="32"/>
        </w:rPr>
      </w:pPr>
    </w:p>
    <w:p>
      <w:pPr>
        <w:pStyle w:val="32"/>
        <w:tabs>
          <w:tab w:val="right" w:leader="dot" w:pos="8306"/>
        </w:tabs>
        <w:rPr>
          <w:sz w:val="32"/>
          <w:szCs w:val="32"/>
        </w:rPr>
      </w:pPr>
      <w:r>
        <w:fldChar w:fldCharType="begin"/>
      </w:r>
      <w:r>
        <w:instrText xml:space="preserve"> HYPERLINK \l "_Toc1846_WPSOffice_Level1" </w:instrText>
      </w:r>
      <w:r>
        <w:fldChar w:fldCharType="separate"/>
      </w:r>
      <w:r>
        <w:rPr>
          <w:rFonts w:hint="eastAsia" w:ascii="宋体" w:hAnsi="宋体" w:cs="宋体"/>
          <w:sz w:val="32"/>
          <w:szCs w:val="32"/>
        </w:rPr>
        <w:t>第十二章  保险</w:t>
      </w:r>
      <w:r>
        <w:rPr>
          <w:sz w:val="32"/>
          <w:szCs w:val="32"/>
        </w:rPr>
        <w:tab/>
      </w:r>
      <w:bookmarkStart w:id="12" w:name="_Toc1846_WPSOffice_Level1Page"/>
      <w:r>
        <w:rPr>
          <w:sz w:val="32"/>
          <w:szCs w:val="32"/>
        </w:rPr>
        <w:t>7</w:t>
      </w:r>
      <w:bookmarkEnd w:id="12"/>
      <w:r>
        <w:rPr>
          <w:sz w:val="32"/>
          <w:szCs w:val="32"/>
        </w:rPr>
        <w:fldChar w:fldCharType="end"/>
      </w:r>
    </w:p>
    <w:p>
      <w:pPr>
        <w:pStyle w:val="32"/>
        <w:tabs>
          <w:tab w:val="right" w:leader="dot" w:pos="8306"/>
        </w:tabs>
        <w:rPr>
          <w:sz w:val="32"/>
          <w:szCs w:val="32"/>
        </w:rPr>
      </w:pPr>
    </w:p>
    <w:p>
      <w:pPr>
        <w:pStyle w:val="32"/>
        <w:tabs>
          <w:tab w:val="right" w:leader="dot" w:pos="8306"/>
        </w:tabs>
        <w:rPr>
          <w:sz w:val="32"/>
          <w:szCs w:val="32"/>
        </w:rPr>
      </w:pPr>
      <w:r>
        <w:fldChar w:fldCharType="begin"/>
      </w:r>
      <w:r>
        <w:instrText xml:space="preserve"> HYPERLINK \l "_Toc10067_WPSOffice_Level1" </w:instrText>
      </w:r>
      <w:r>
        <w:fldChar w:fldCharType="separate"/>
      </w:r>
      <w:r>
        <w:rPr>
          <w:rFonts w:hint="eastAsia" w:ascii="宋体" w:hAnsi="宋体" w:cs="宋体"/>
          <w:sz w:val="32"/>
          <w:szCs w:val="32"/>
        </w:rPr>
        <w:t>第十三章  合同有效期</w:t>
      </w:r>
      <w:r>
        <w:rPr>
          <w:sz w:val="32"/>
          <w:szCs w:val="32"/>
        </w:rPr>
        <w:tab/>
      </w:r>
      <w:bookmarkStart w:id="13" w:name="_Toc10067_WPSOffice_Level1Page"/>
      <w:r>
        <w:rPr>
          <w:sz w:val="32"/>
          <w:szCs w:val="32"/>
        </w:rPr>
        <w:t>7</w:t>
      </w:r>
      <w:bookmarkEnd w:id="13"/>
      <w:r>
        <w:rPr>
          <w:sz w:val="32"/>
          <w:szCs w:val="32"/>
        </w:rPr>
        <w:fldChar w:fldCharType="end"/>
      </w:r>
    </w:p>
    <w:p>
      <w:pPr>
        <w:pStyle w:val="32"/>
        <w:tabs>
          <w:tab w:val="right" w:leader="dot" w:pos="8306"/>
        </w:tabs>
        <w:rPr>
          <w:sz w:val="32"/>
          <w:szCs w:val="32"/>
        </w:rPr>
      </w:pPr>
    </w:p>
    <w:p>
      <w:pPr>
        <w:pStyle w:val="32"/>
        <w:tabs>
          <w:tab w:val="right" w:leader="dot" w:pos="8306"/>
        </w:tabs>
        <w:rPr>
          <w:sz w:val="32"/>
          <w:szCs w:val="32"/>
        </w:rPr>
      </w:pPr>
      <w:r>
        <w:fldChar w:fldCharType="begin"/>
      </w:r>
      <w:r>
        <w:instrText xml:space="preserve"> HYPERLINK \l "_Toc7490_WPSOffice_Level1" </w:instrText>
      </w:r>
      <w:r>
        <w:fldChar w:fldCharType="separate"/>
      </w:r>
      <w:r>
        <w:rPr>
          <w:rFonts w:hint="eastAsia" w:ascii="宋体" w:hAnsi="宋体" w:cs="宋体"/>
          <w:sz w:val="32"/>
          <w:szCs w:val="32"/>
        </w:rPr>
        <w:t>第十四章  其它</w:t>
      </w:r>
      <w:r>
        <w:rPr>
          <w:sz w:val="32"/>
          <w:szCs w:val="32"/>
        </w:rPr>
        <w:tab/>
      </w:r>
      <w:bookmarkStart w:id="14" w:name="_Toc7490_WPSOffice_Level1Page"/>
      <w:r>
        <w:rPr>
          <w:sz w:val="32"/>
          <w:szCs w:val="32"/>
        </w:rPr>
        <w:t>7</w:t>
      </w:r>
      <w:bookmarkEnd w:id="14"/>
      <w:r>
        <w:rPr>
          <w:sz w:val="32"/>
          <w:szCs w:val="32"/>
        </w:rPr>
        <w:fldChar w:fldCharType="end"/>
      </w:r>
    </w:p>
    <w:p>
      <w:pPr>
        <w:pStyle w:val="32"/>
        <w:tabs>
          <w:tab w:val="right" w:leader="dot" w:pos="8306"/>
        </w:tabs>
        <w:rPr>
          <w:sz w:val="32"/>
          <w:szCs w:val="32"/>
        </w:rPr>
      </w:pPr>
    </w:p>
    <w:p>
      <w:pPr>
        <w:pStyle w:val="32"/>
        <w:tabs>
          <w:tab w:val="right" w:leader="dot" w:pos="8306"/>
        </w:tabs>
        <w:rPr>
          <w:sz w:val="32"/>
          <w:szCs w:val="32"/>
        </w:rPr>
      </w:pPr>
      <w:r>
        <w:fldChar w:fldCharType="begin"/>
      </w:r>
      <w:r>
        <w:instrText xml:space="preserve"> HYPERLINK \l "_Toc13967_WPSOffice_Level1" </w:instrText>
      </w:r>
      <w:r>
        <w:fldChar w:fldCharType="separate"/>
      </w:r>
      <w:r>
        <w:rPr>
          <w:rFonts w:hint="eastAsia" w:ascii="宋体" w:hAnsi="宋体" w:cs="宋体"/>
          <w:sz w:val="32"/>
          <w:szCs w:val="32"/>
        </w:rPr>
        <w:t>第十五章  附件</w:t>
      </w:r>
      <w:r>
        <w:rPr>
          <w:sz w:val="32"/>
          <w:szCs w:val="32"/>
        </w:rPr>
        <w:tab/>
      </w:r>
      <w:bookmarkStart w:id="15" w:name="_Toc13967_WPSOffice_Level1Page"/>
      <w:r>
        <w:rPr>
          <w:sz w:val="32"/>
          <w:szCs w:val="32"/>
        </w:rPr>
        <w:t>7</w:t>
      </w:r>
      <w:bookmarkEnd w:id="15"/>
      <w:r>
        <w:rPr>
          <w:sz w:val="32"/>
          <w:szCs w:val="32"/>
        </w:rPr>
        <w:fldChar w:fldCharType="end"/>
      </w:r>
    </w:p>
    <w:bookmarkEnd w:id="0"/>
    <w:p>
      <w:pPr>
        <w:pStyle w:val="32"/>
        <w:tabs>
          <w:tab w:val="right" w:leader="dot" w:pos="8306"/>
        </w:tabs>
        <w:rPr>
          <w:sz w:val="32"/>
          <w:szCs w:val="32"/>
        </w:rPr>
      </w:pPr>
    </w:p>
    <w:p>
      <w:pPr>
        <w:spacing w:line="360" w:lineRule="auto"/>
        <w:rPr>
          <w:rFonts w:ascii="宋体" w:hAnsi="宋体" w:cs="宋体"/>
          <w:color w:val="000000"/>
          <w:sz w:val="24"/>
        </w:rPr>
      </w:pPr>
      <w:r>
        <w:rPr>
          <w:rFonts w:hint="eastAsia" w:ascii="宋体" w:hAnsi="宋体" w:cs="宋体"/>
          <w:color w:val="000000"/>
          <w:sz w:val="44"/>
        </w:rPr>
        <w:br w:type="page"/>
      </w:r>
    </w:p>
    <w:p>
      <w:pPr>
        <w:snapToGrid w:val="0"/>
        <w:spacing w:line="440" w:lineRule="exact"/>
        <w:jc w:val="center"/>
        <w:rPr>
          <w:rFonts w:ascii="宋体" w:hAnsi="宋体" w:cs="宋体"/>
          <w:color w:val="000000"/>
          <w:sz w:val="30"/>
          <w:szCs w:val="30"/>
        </w:rPr>
      </w:pPr>
      <w:bookmarkStart w:id="16" w:name="_Toc30203_WPSOffice_Level1"/>
      <w:r>
        <w:rPr>
          <w:rFonts w:hint="eastAsia" w:ascii="宋体" w:hAnsi="宋体" w:cs="宋体"/>
          <w:color w:val="000000"/>
          <w:sz w:val="30"/>
          <w:szCs w:val="30"/>
        </w:rPr>
        <w:t>中国石油工程建设有限公司项目成套工程合同</w:t>
      </w:r>
      <w:bookmarkEnd w:id="16"/>
    </w:p>
    <w:p>
      <w:pPr>
        <w:snapToGrid w:val="0"/>
        <w:spacing w:line="440" w:lineRule="exact"/>
        <w:jc w:val="center"/>
        <w:rPr>
          <w:rFonts w:ascii="宋体" w:hAnsi="宋体" w:cs="宋体"/>
          <w:color w:val="000000"/>
          <w:sz w:val="24"/>
        </w:rPr>
      </w:pPr>
    </w:p>
    <w:p>
      <w:pPr>
        <w:snapToGrid w:val="0"/>
        <w:spacing w:line="440" w:lineRule="exact"/>
        <w:ind w:firstLine="720" w:firstLineChars="300"/>
        <w:rPr>
          <w:rFonts w:ascii="宋体" w:hAnsi="宋体" w:cs="宋体"/>
          <w:color w:val="000000"/>
          <w:sz w:val="24"/>
        </w:rPr>
      </w:pPr>
      <w:r>
        <w:rPr>
          <w:rFonts w:hint="eastAsia" w:ascii="宋体" w:hAnsi="宋体" w:cs="宋体"/>
          <w:color w:val="000000"/>
          <w:sz w:val="24"/>
          <w:u w:val="single"/>
        </w:rPr>
        <w:t>松下制冷（大连）有限公司</w:t>
      </w:r>
      <w:r>
        <w:rPr>
          <w:rFonts w:hint="eastAsia" w:ascii="宋体" w:hAnsi="宋体" w:cs="宋体"/>
          <w:color w:val="000000"/>
          <w:sz w:val="24"/>
        </w:rPr>
        <w:t>（下称甲方）与</w:t>
      </w:r>
      <w:r>
        <w:rPr>
          <w:rFonts w:hint="eastAsia" w:ascii="宋体" w:hAnsi="宋体" w:cs="宋体"/>
          <w:color w:val="000000"/>
          <w:sz w:val="24"/>
          <w:szCs w:val="22"/>
          <w:u w:val="single"/>
        </w:rPr>
        <w:t>北京三汇能环科技发展有限公司（</w:t>
      </w:r>
      <w:r>
        <w:rPr>
          <w:rFonts w:hint="eastAsia" w:ascii="宋体" w:hAnsi="宋体" w:cs="宋体"/>
          <w:color w:val="000000"/>
          <w:sz w:val="24"/>
        </w:rPr>
        <w:t>下称乙方）依据《中华人民共和国经济合同法》的有关规定并结合本工程的特点，经双方友好协商一致，共同订立本合同，以便双方共同遵照执行。</w:t>
      </w:r>
    </w:p>
    <w:p>
      <w:pPr>
        <w:snapToGrid w:val="0"/>
        <w:spacing w:line="440" w:lineRule="exact"/>
        <w:rPr>
          <w:rFonts w:ascii="宋体" w:hAnsi="宋体" w:cs="宋体"/>
          <w:color w:val="000000"/>
          <w:sz w:val="24"/>
        </w:rPr>
      </w:pPr>
    </w:p>
    <w:p>
      <w:pPr>
        <w:spacing w:line="360" w:lineRule="auto"/>
        <w:jc w:val="left"/>
        <w:rPr>
          <w:rFonts w:ascii="宋体" w:hAnsi="宋体" w:cs="宋体"/>
          <w:color w:val="000000"/>
          <w:sz w:val="28"/>
          <w:szCs w:val="28"/>
        </w:rPr>
      </w:pPr>
      <w:bookmarkStart w:id="17" w:name="_Toc2062_WPSOffice_Level1"/>
      <w:r>
        <w:rPr>
          <w:rFonts w:hint="eastAsia" w:ascii="宋体" w:hAnsi="宋体" w:cs="宋体"/>
          <w:color w:val="000000"/>
          <w:sz w:val="28"/>
          <w:szCs w:val="28"/>
        </w:rPr>
        <w:t>第一章  工程概况</w:t>
      </w:r>
      <w:bookmarkEnd w:id="17"/>
    </w:p>
    <w:p>
      <w:pPr>
        <w:spacing w:line="360" w:lineRule="auto"/>
        <w:ind w:left="3120" w:hanging="3120" w:hangingChars="1300"/>
        <w:rPr>
          <w:rFonts w:ascii="宋体" w:hAnsi="宋体" w:cs="宋体"/>
          <w:color w:val="000000"/>
          <w:sz w:val="24"/>
          <w:szCs w:val="22"/>
        </w:rPr>
      </w:pPr>
      <w:r>
        <w:rPr>
          <w:rFonts w:hint="eastAsia" w:ascii="宋体" w:hAnsi="宋体" w:cs="宋体"/>
          <w:color w:val="000000"/>
          <w:sz w:val="24"/>
        </w:rPr>
        <w:t>工程名称：</w:t>
      </w:r>
      <w:r>
        <w:rPr>
          <w:rFonts w:hint="eastAsia" w:ascii="宋体" w:hAnsi="宋体" w:cs="宋体"/>
          <w:color w:val="000000"/>
          <w:sz w:val="24"/>
          <w:szCs w:val="22"/>
        </w:rPr>
        <w:t>中国石油工程建设有限公司项目安装工程</w:t>
      </w:r>
    </w:p>
    <w:p>
      <w:pPr>
        <w:numPr>
          <w:ilvl w:val="0"/>
          <w:numId w:val="1"/>
        </w:numPr>
        <w:snapToGrid w:val="0"/>
        <w:spacing w:line="440" w:lineRule="exact"/>
        <w:rPr>
          <w:rFonts w:ascii="宋体" w:hAnsi="宋体" w:cs="宋体"/>
          <w:color w:val="000000"/>
          <w:sz w:val="24"/>
        </w:rPr>
      </w:pPr>
      <w:r>
        <w:rPr>
          <w:rFonts w:hint="eastAsia" w:ascii="宋体" w:hAnsi="宋体" w:cs="宋体"/>
          <w:color w:val="000000"/>
          <w:sz w:val="24"/>
        </w:rPr>
        <w:t>工程地点：北京市东城区鼓楼外大街28号</w:t>
      </w:r>
    </w:p>
    <w:p>
      <w:pPr>
        <w:numPr>
          <w:ilvl w:val="0"/>
          <w:numId w:val="1"/>
        </w:numPr>
        <w:snapToGrid w:val="0"/>
        <w:spacing w:line="440" w:lineRule="exact"/>
        <w:rPr>
          <w:rFonts w:ascii="宋体" w:hAnsi="宋体" w:cs="宋体"/>
          <w:color w:val="000000"/>
          <w:sz w:val="24"/>
        </w:rPr>
      </w:pPr>
      <w:r>
        <w:rPr>
          <w:rFonts w:hint="eastAsia" w:ascii="宋体" w:hAnsi="宋体" w:cs="宋体"/>
          <w:color w:val="000000"/>
          <w:sz w:val="24"/>
        </w:rPr>
        <w:t>用户名称：</w:t>
      </w:r>
      <w:r>
        <w:rPr>
          <w:rFonts w:hint="eastAsia" w:ascii="宋体" w:hAnsi="宋体" w:cs="宋体"/>
          <w:color w:val="000000"/>
          <w:sz w:val="24"/>
          <w:szCs w:val="22"/>
        </w:rPr>
        <w:t>中国石油工程建设有限公司</w:t>
      </w:r>
    </w:p>
    <w:p>
      <w:pPr>
        <w:numPr>
          <w:ilvl w:val="0"/>
          <w:numId w:val="1"/>
        </w:numPr>
        <w:snapToGrid w:val="0"/>
        <w:spacing w:line="440" w:lineRule="exact"/>
        <w:rPr>
          <w:rFonts w:ascii="宋体" w:hAnsi="宋体" w:cs="宋体"/>
          <w:color w:val="000000"/>
          <w:sz w:val="24"/>
        </w:rPr>
      </w:pPr>
      <w:r>
        <w:rPr>
          <w:rFonts w:hint="eastAsia" w:ascii="宋体" w:hAnsi="宋体" w:cs="宋体"/>
          <w:color w:val="000000"/>
          <w:sz w:val="24"/>
        </w:rPr>
        <w:t>合同价格：</w:t>
      </w:r>
    </w:p>
    <w:p>
      <w:pPr>
        <w:snapToGrid w:val="0"/>
        <w:spacing w:line="440" w:lineRule="exact"/>
        <w:rPr>
          <w:rFonts w:ascii="宋体" w:hAnsi="宋体" w:cs="宋体"/>
          <w:color w:val="000000"/>
          <w:sz w:val="24"/>
        </w:rPr>
      </w:pPr>
      <w:r>
        <w:rPr>
          <w:rFonts w:hint="eastAsia" w:ascii="宋体" w:hAnsi="宋体" w:cs="宋体"/>
          <w:color w:val="000000"/>
          <w:sz w:val="24"/>
        </w:rPr>
        <w:t xml:space="preserve">     </w:t>
      </w:r>
      <w:r>
        <w:rPr>
          <w:rFonts w:hint="eastAsia" w:ascii="宋体" w:hAnsi="宋体" w:cs="宋体"/>
          <w:color w:val="000000"/>
          <w:sz w:val="24"/>
          <w:szCs w:val="22"/>
        </w:rPr>
        <w:t xml:space="preserve">本合同约定之价格为固定总价,合同含税总价为2008300元，成套设备价格（含税13%）1256000元，安装工程价格（含税9%）752300元。 </w:t>
      </w:r>
      <w:r>
        <w:rPr>
          <w:rFonts w:hint="eastAsia" w:ascii="宋体" w:hAnsi="宋体" w:cs="宋体"/>
          <w:color w:val="000000"/>
          <w:sz w:val="24"/>
        </w:rPr>
        <w:t xml:space="preserve">                                    </w:t>
      </w:r>
    </w:p>
    <w:p>
      <w:pPr>
        <w:tabs>
          <w:tab w:val="left" w:pos="6435"/>
        </w:tabs>
        <w:snapToGrid w:val="0"/>
        <w:spacing w:after="120" w:afterLines="50"/>
        <w:rPr>
          <w:rFonts w:ascii="宋体" w:hAnsi="宋体" w:cs="宋体"/>
          <w:color w:val="000000"/>
          <w:sz w:val="24"/>
        </w:rPr>
      </w:pPr>
      <w:r>
        <w:rPr>
          <w:rFonts w:ascii="宋体" w:hAnsi="宋体" w:cs="宋体"/>
          <w:color w:val="000000"/>
          <w:sz w:val="24"/>
        </w:rPr>
        <w:tab/>
      </w:r>
    </w:p>
    <w:p>
      <w:pPr>
        <w:spacing w:line="360" w:lineRule="auto"/>
        <w:jc w:val="left"/>
        <w:rPr>
          <w:rFonts w:ascii="宋体" w:hAnsi="宋体" w:cs="宋体"/>
          <w:color w:val="000000"/>
          <w:sz w:val="28"/>
          <w:szCs w:val="28"/>
        </w:rPr>
      </w:pPr>
      <w:bookmarkStart w:id="18" w:name="_Toc20532_WPSOffice_Level1"/>
      <w:r>
        <w:rPr>
          <w:rFonts w:hint="eastAsia" w:ascii="宋体" w:hAnsi="宋体" w:cs="宋体"/>
          <w:color w:val="000000"/>
          <w:sz w:val="28"/>
          <w:szCs w:val="28"/>
        </w:rPr>
        <w:t>第二章  合同范围</w:t>
      </w:r>
      <w:bookmarkEnd w:id="18"/>
    </w:p>
    <w:p>
      <w:pPr>
        <w:snapToGrid w:val="0"/>
        <w:spacing w:after="120" w:afterLines="50" w:line="440" w:lineRule="exact"/>
        <w:rPr>
          <w:rFonts w:ascii="宋体" w:hAnsi="宋体" w:cs="宋体"/>
          <w:color w:val="000000"/>
          <w:sz w:val="24"/>
        </w:rPr>
      </w:pPr>
      <w:r>
        <w:rPr>
          <w:rFonts w:hint="eastAsia" w:ascii="宋体" w:hAnsi="宋体" w:cs="宋体"/>
          <w:color w:val="000000"/>
          <w:sz w:val="24"/>
        </w:rPr>
        <w:t>甲方责任：</w:t>
      </w:r>
    </w:p>
    <w:p>
      <w:pPr>
        <w:numPr>
          <w:ilvl w:val="0"/>
          <w:numId w:val="2"/>
        </w:numPr>
        <w:snapToGrid w:val="0"/>
        <w:spacing w:after="120" w:afterLines="50" w:line="360" w:lineRule="exact"/>
        <w:rPr>
          <w:rFonts w:ascii="宋体" w:hAnsi="宋体" w:cs="宋体"/>
          <w:color w:val="000000"/>
          <w:sz w:val="24"/>
        </w:rPr>
      </w:pPr>
      <w:r>
        <w:rPr>
          <w:rFonts w:hint="eastAsia" w:ascii="宋体" w:hAnsi="宋体" w:cs="宋体"/>
          <w:color w:val="000000"/>
          <w:sz w:val="24"/>
        </w:rPr>
        <w:t>负责向乙方提供用户施工场地内相关注意事项及用户公司管理规定等，以保证安全施工。</w:t>
      </w:r>
    </w:p>
    <w:p>
      <w:pPr>
        <w:numPr>
          <w:ilvl w:val="0"/>
          <w:numId w:val="2"/>
        </w:numPr>
        <w:snapToGrid w:val="0"/>
        <w:spacing w:after="120" w:afterLines="50" w:line="360" w:lineRule="exact"/>
        <w:rPr>
          <w:rFonts w:ascii="宋体" w:hAnsi="宋体" w:cs="宋体"/>
          <w:color w:val="000000"/>
          <w:sz w:val="24"/>
        </w:rPr>
      </w:pPr>
      <w:r>
        <w:rPr>
          <w:rFonts w:hint="eastAsia" w:ascii="宋体" w:hAnsi="宋体" w:cs="宋体"/>
          <w:color w:val="000000"/>
          <w:sz w:val="24"/>
        </w:rPr>
        <w:t>负责协调各单位之间的配合工作，保证乙方施工的顺利进行。</w:t>
      </w:r>
    </w:p>
    <w:p>
      <w:pPr>
        <w:numPr>
          <w:ilvl w:val="0"/>
          <w:numId w:val="2"/>
        </w:numPr>
        <w:snapToGrid w:val="0"/>
        <w:spacing w:after="120" w:afterLines="50" w:line="360" w:lineRule="exact"/>
        <w:rPr>
          <w:rFonts w:ascii="宋体" w:hAnsi="宋体" w:cs="宋体"/>
          <w:color w:val="000000"/>
          <w:sz w:val="24"/>
        </w:rPr>
      </w:pPr>
      <w:r>
        <w:rPr>
          <w:rFonts w:hint="eastAsia" w:ascii="宋体" w:hAnsi="宋体" w:cs="宋体"/>
          <w:color w:val="000000"/>
          <w:sz w:val="24"/>
        </w:rPr>
        <w:t>负责协调用户将直燃型吸收式热泵机组施工所需的电源、水源送至乙方指定位置。</w:t>
      </w:r>
    </w:p>
    <w:p>
      <w:pPr>
        <w:numPr>
          <w:ilvl w:val="0"/>
          <w:numId w:val="2"/>
        </w:numPr>
        <w:snapToGrid w:val="0"/>
        <w:spacing w:after="120" w:afterLines="50" w:line="360" w:lineRule="exact"/>
        <w:rPr>
          <w:rFonts w:ascii="宋体" w:hAnsi="宋体" w:cs="宋体"/>
          <w:color w:val="000000"/>
          <w:sz w:val="24"/>
        </w:rPr>
      </w:pPr>
      <w:r>
        <w:rPr>
          <w:rFonts w:hint="eastAsia" w:ascii="宋体" w:hAnsi="宋体" w:cs="宋体"/>
          <w:color w:val="000000"/>
          <w:sz w:val="24"/>
        </w:rPr>
        <w:t>负责协调用户提供乙方在施工吊装过程中的场地（附属设备以及管材等）,包含室外和附属设备的吊装拖运的通道。</w:t>
      </w:r>
    </w:p>
    <w:p>
      <w:pPr>
        <w:numPr>
          <w:ilvl w:val="0"/>
          <w:numId w:val="2"/>
        </w:numPr>
        <w:snapToGrid w:val="0"/>
        <w:spacing w:after="120" w:afterLines="50" w:line="360" w:lineRule="exact"/>
        <w:rPr>
          <w:rFonts w:ascii="宋体" w:hAnsi="宋体" w:cs="宋体"/>
          <w:color w:val="000000"/>
          <w:sz w:val="24"/>
        </w:rPr>
      </w:pPr>
      <w:r>
        <w:rPr>
          <w:rFonts w:hint="eastAsia" w:ascii="宋体" w:hAnsi="宋体" w:cs="宋体"/>
          <w:color w:val="000000"/>
          <w:sz w:val="24"/>
        </w:rPr>
        <w:t>具备安装条件提前7天通知乙方进场施工。</w:t>
      </w:r>
    </w:p>
    <w:p>
      <w:pPr>
        <w:snapToGrid w:val="0"/>
        <w:spacing w:line="440" w:lineRule="exact"/>
        <w:rPr>
          <w:rFonts w:ascii="宋体" w:hAnsi="宋体" w:cs="宋体"/>
          <w:color w:val="000000"/>
          <w:sz w:val="24"/>
        </w:rPr>
      </w:pPr>
      <w:r>
        <w:rPr>
          <w:rFonts w:hint="eastAsia" w:ascii="宋体" w:hAnsi="宋体" w:cs="宋体"/>
          <w:color w:val="000000"/>
          <w:sz w:val="24"/>
        </w:rPr>
        <w:t>乙方责任：</w:t>
      </w:r>
    </w:p>
    <w:p>
      <w:pPr>
        <w:numPr>
          <w:ilvl w:val="0"/>
          <w:numId w:val="3"/>
        </w:numPr>
        <w:snapToGrid w:val="0"/>
        <w:spacing w:after="120" w:afterLines="50" w:line="440" w:lineRule="exact"/>
        <w:rPr>
          <w:rFonts w:ascii="宋体" w:hAnsi="宋体" w:cs="宋体"/>
          <w:color w:val="000000"/>
          <w:sz w:val="24"/>
        </w:rPr>
      </w:pPr>
      <w:r>
        <w:rPr>
          <w:rFonts w:hint="eastAsia" w:ascii="宋体" w:hAnsi="宋体" w:cs="宋体"/>
          <w:color w:val="000000"/>
          <w:sz w:val="24"/>
        </w:rPr>
        <w:t>提供直燃型热泵机组机房安装所需项目内乙方负责供应的设备及材料，供应范围以安装工程预算书为准。具体范围如下：</w:t>
      </w:r>
    </w:p>
    <w:p>
      <w:pPr>
        <w:numPr>
          <w:ilvl w:val="0"/>
          <w:numId w:val="4"/>
        </w:numPr>
        <w:snapToGrid w:val="0"/>
        <w:spacing w:after="120" w:afterLines="50" w:line="440" w:lineRule="exact"/>
        <w:rPr>
          <w:rFonts w:ascii="宋体" w:hAnsi="宋体" w:cs="宋体"/>
          <w:color w:val="000000"/>
          <w:sz w:val="24"/>
        </w:rPr>
      </w:pPr>
      <w:r>
        <w:rPr>
          <w:rFonts w:hint="eastAsia" w:ascii="宋体" w:hAnsi="宋体" w:cs="宋体"/>
          <w:color w:val="000000"/>
          <w:sz w:val="24"/>
        </w:rPr>
        <w:t>辅材制作安装</w:t>
      </w:r>
    </w:p>
    <w:p>
      <w:pPr>
        <w:numPr>
          <w:ilvl w:val="0"/>
          <w:numId w:val="4"/>
        </w:numPr>
        <w:snapToGrid w:val="0"/>
        <w:spacing w:after="120" w:afterLines="50" w:line="440" w:lineRule="exact"/>
        <w:rPr>
          <w:rFonts w:ascii="宋体" w:hAnsi="宋体" w:cs="宋体"/>
          <w:color w:val="000000"/>
          <w:sz w:val="24"/>
        </w:rPr>
      </w:pPr>
      <w:r>
        <w:rPr>
          <w:rFonts w:hint="eastAsia" w:ascii="宋体" w:hAnsi="宋体" w:cs="宋体"/>
          <w:color w:val="000000"/>
          <w:sz w:val="24"/>
        </w:rPr>
        <w:t>附属设备材料运输、安装</w:t>
      </w:r>
    </w:p>
    <w:p>
      <w:pPr>
        <w:numPr>
          <w:ilvl w:val="0"/>
          <w:numId w:val="4"/>
        </w:numPr>
        <w:snapToGrid w:val="0"/>
        <w:spacing w:after="120" w:afterLines="50" w:line="440" w:lineRule="exact"/>
        <w:rPr>
          <w:rFonts w:ascii="宋体" w:hAnsi="宋体" w:cs="宋体"/>
          <w:color w:val="000000"/>
          <w:sz w:val="24"/>
        </w:rPr>
      </w:pPr>
      <w:r>
        <w:rPr>
          <w:rFonts w:hint="eastAsia" w:ascii="宋体" w:hAnsi="宋体" w:cs="宋体"/>
          <w:color w:val="000000"/>
          <w:sz w:val="24"/>
        </w:rPr>
        <w:t>设备吊装就位</w:t>
      </w:r>
    </w:p>
    <w:p>
      <w:pPr>
        <w:numPr>
          <w:ilvl w:val="0"/>
          <w:numId w:val="4"/>
        </w:numPr>
        <w:snapToGrid w:val="0"/>
        <w:spacing w:after="120" w:afterLines="50" w:line="440" w:lineRule="exact"/>
        <w:rPr>
          <w:rFonts w:ascii="宋体" w:hAnsi="宋体" w:cs="宋体"/>
          <w:color w:val="000000"/>
          <w:sz w:val="24"/>
        </w:rPr>
      </w:pPr>
      <w:r>
        <w:rPr>
          <w:rFonts w:hint="eastAsia" w:ascii="宋体" w:hAnsi="宋体" w:cs="宋体"/>
          <w:color w:val="000000"/>
          <w:sz w:val="24"/>
        </w:rPr>
        <w:t>设备、管道保温制作、安装等</w:t>
      </w:r>
    </w:p>
    <w:p>
      <w:pPr>
        <w:spacing w:line="360" w:lineRule="auto"/>
        <w:jc w:val="left"/>
        <w:rPr>
          <w:rFonts w:ascii="宋体" w:hAnsi="宋体" w:cs="宋体"/>
          <w:color w:val="000000"/>
          <w:sz w:val="24"/>
        </w:rPr>
      </w:pPr>
      <w:r>
        <w:rPr>
          <w:rFonts w:hint="eastAsia" w:ascii="宋体" w:hAnsi="宋体" w:cs="宋体"/>
          <w:color w:val="000000"/>
          <w:sz w:val="24"/>
        </w:rPr>
        <w:t>2、安装结束,需在有负荷季节进行单机和联机调试。</w:t>
      </w:r>
    </w:p>
    <w:p>
      <w:pPr>
        <w:spacing w:line="360" w:lineRule="auto"/>
        <w:ind w:left="360" w:hanging="360" w:hangingChars="150"/>
        <w:jc w:val="left"/>
        <w:rPr>
          <w:rFonts w:ascii="宋体" w:hAnsi="宋体" w:cs="宋体"/>
          <w:color w:val="000000"/>
          <w:sz w:val="24"/>
        </w:rPr>
      </w:pPr>
      <w:r>
        <w:rPr>
          <w:rFonts w:hint="eastAsia" w:ascii="宋体" w:hAnsi="宋体" w:cs="宋体"/>
          <w:color w:val="000000"/>
          <w:sz w:val="24"/>
        </w:rPr>
        <w:t>3、在安装人员进入工地前7天内，将施工方案、 临时性货场、库房、电源等明细交甲方，由甲方协调用户负责准备；</w:t>
      </w:r>
    </w:p>
    <w:p>
      <w:pPr>
        <w:spacing w:line="360" w:lineRule="auto"/>
        <w:jc w:val="left"/>
        <w:rPr>
          <w:rFonts w:ascii="宋体" w:hAnsi="宋体" w:cs="宋体"/>
          <w:color w:val="000000"/>
          <w:sz w:val="24"/>
        </w:rPr>
      </w:pPr>
      <w:r>
        <w:rPr>
          <w:rFonts w:hint="eastAsia" w:ascii="宋体" w:hAnsi="宋体" w:cs="宋体"/>
          <w:color w:val="000000"/>
          <w:sz w:val="24"/>
        </w:rPr>
        <w:t>4、负责提供竣工图纸；</w:t>
      </w:r>
    </w:p>
    <w:p>
      <w:pPr>
        <w:spacing w:line="360" w:lineRule="auto"/>
        <w:jc w:val="left"/>
        <w:rPr>
          <w:rFonts w:ascii="宋体" w:hAnsi="宋体" w:cs="宋体"/>
          <w:color w:val="000000"/>
          <w:sz w:val="24"/>
        </w:rPr>
      </w:pPr>
      <w:r>
        <w:rPr>
          <w:rFonts w:hint="eastAsia" w:ascii="宋体" w:hAnsi="宋体" w:cs="宋体"/>
          <w:color w:val="000000"/>
          <w:sz w:val="24"/>
        </w:rPr>
        <w:t>5、工程安装用工具（设备等）由乙方自备；</w:t>
      </w:r>
    </w:p>
    <w:p>
      <w:pPr>
        <w:spacing w:line="360" w:lineRule="auto"/>
        <w:jc w:val="left"/>
        <w:rPr>
          <w:rFonts w:ascii="宋体" w:hAnsi="宋体" w:cs="宋体"/>
          <w:color w:val="000000"/>
          <w:sz w:val="24"/>
        </w:rPr>
      </w:pPr>
      <w:r>
        <w:rPr>
          <w:rFonts w:hint="eastAsia" w:ascii="宋体" w:hAnsi="宋体" w:cs="宋体"/>
          <w:color w:val="000000"/>
          <w:sz w:val="24"/>
        </w:rPr>
        <w:t>6、项目经理或专业负责人须按时参加甲方和用户的工程例会。</w:t>
      </w:r>
    </w:p>
    <w:p>
      <w:pPr>
        <w:spacing w:line="360" w:lineRule="auto"/>
        <w:jc w:val="left"/>
        <w:rPr>
          <w:rFonts w:ascii="宋体" w:hAnsi="宋体" w:cs="宋体"/>
          <w:color w:val="000000"/>
          <w:sz w:val="24"/>
        </w:rPr>
      </w:pPr>
      <w:r>
        <w:rPr>
          <w:rFonts w:hint="eastAsia" w:ascii="宋体" w:hAnsi="宋体" w:cs="宋体"/>
          <w:color w:val="000000"/>
          <w:sz w:val="24"/>
        </w:rPr>
        <w:t>7、接受甲方或用户指定的监理公司的监督和领导。</w:t>
      </w:r>
    </w:p>
    <w:p>
      <w:pPr>
        <w:spacing w:line="360" w:lineRule="auto"/>
        <w:jc w:val="left"/>
        <w:rPr>
          <w:rFonts w:hint="eastAsia" w:ascii="宋体" w:hAnsi="宋体" w:cs="宋体"/>
          <w:color w:val="000000"/>
          <w:sz w:val="24"/>
        </w:rPr>
      </w:pPr>
      <w:r>
        <w:rPr>
          <w:rFonts w:hint="eastAsia" w:ascii="宋体" w:hAnsi="宋体" w:cs="宋体"/>
          <w:color w:val="000000"/>
          <w:sz w:val="24"/>
        </w:rPr>
        <w:t>8、负责货物的运输，运杂费由乙方负责。</w:t>
      </w:r>
    </w:p>
    <w:p>
      <w:pPr>
        <w:spacing w:line="360" w:lineRule="auto"/>
        <w:jc w:val="left"/>
        <w:rPr>
          <w:rFonts w:hint="eastAsia" w:ascii="宋体" w:hAnsi="宋体" w:cs="宋体"/>
          <w:color w:val="000000"/>
          <w:sz w:val="24"/>
        </w:rPr>
      </w:pPr>
    </w:p>
    <w:p>
      <w:pPr>
        <w:spacing w:line="360" w:lineRule="auto"/>
        <w:jc w:val="left"/>
        <w:rPr>
          <w:rFonts w:ascii="宋体" w:hAnsi="宋体" w:cs="宋体"/>
          <w:color w:val="000000"/>
          <w:sz w:val="28"/>
          <w:szCs w:val="28"/>
        </w:rPr>
      </w:pPr>
      <w:bookmarkStart w:id="19" w:name="_Toc2453_WPSOffice_Level1"/>
      <w:r>
        <w:rPr>
          <w:rFonts w:hint="eastAsia" w:ascii="宋体" w:hAnsi="宋体" w:cs="宋体"/>
          <w:color w:val="000000"/>
          <w:sz w:val="28"/>
          <w:szCs w:val="28"/>
        </w:rPr>
        <w:t>第三章  工程进度</w:t>
      </w:r>
      <w:bookmarkEnd w:id="19"/>
    </w:p>
    <w:p>
      <w:pPr>
        <w:spacing w:line="360" w:lineRule="auto"/>
        <w:jc w:val="left"/>
        <w:rPr>
          <w:rFonts w:ascii="宋体" w:hAnsi="宋体" w:cs="宋体"/>
          <w:color w:val="000000"/>
          <w:sz w:val="24"/>
        </w:rPr>
      </w:pPr>
      <w:r>
        <w:rPr>
          <w:rFonts w:hint="eastAsia" w:ascii="宋体" w:hAnsi="宋体" w:cs="宋体"/>
          <w:color w:val="000000"/>
          <w:sz w:val="24"/>
        </w:rPr>
        <w:t>1、在现场具备安装条件的情况下，乙方应在接到甲方通知后进场施工，20</w:t>
      </w:r>
    </w:p>
    <w:p>
      <w:pPr>
        <w:spacing w:line="360" w:lineRule="auto"/>
        <w:ind w:firstLine="360" w:firstLineChars="150"/>
        <w:jc w:val="left"/>
        <w:rPr>
          <w:rFonts w:ascii="宋体" w:hAnsi="宋体" w:cs="宋体"/>
          <w:color w:val="000000"/>
          <w:sz w:val="24"/>
        </w:rPr>
      </w:pPr>
      <w:r>
        <w:rPr>
          <w:rFonts w:hint="eastAsia" w:ascii="宋体" w:hAnsi="宋体" w:cs="宋体"/>
          <w:color w:val="000000"/>
          <w:sz w:val="24"/>
        </w:rPr>
        <w:t>日内完成本工程的安装，并经验收合格后交付甲方，保证用户正常使用。</w:t>
      </w:r>
    </w:p>
    <w:p>
      <w:pPr>
        <w:spacing w:line="360" w:lineRule="auto"/>
        <w:jc w:val="left"/>
        <w:rPr>
          <w:rFonts w:ascii="宋体" w:hAnsi="宋体" w:cs="宋体"/>
          <w:color w:val="000000"/>
          <w:sz w:val="24"/>
        </w:rPr>
      </w:pPr>
      <w:r>
        <w:rPr>
          <w:rFonts w:hint="eastAsia" w:ascii="宋体" w:hAnsi="宋体" w:cs="宋体"/>
          <w:color w:val="000000"/>
          <w:sz w:val="24"/>
        </w:rPr>
        <w:t>2、若因甲方、设计、总包以及其他非乙方原因影响工期，则工期顺延。</w:t>
      </w:r>
    </w:p>
    <w:p>
      <w:pPr>
        <w:spacing w:line="360" w:lineRule="auto"/>
        <w:jc w:val="left"/>
        <w:rPr>
          <w:rFonts w:hint="eastAsia" w:ascii="宋体" w:hAnsi="宋体" w:cs="宋体"/>
          <w:color w:val="auto"/>
          <w:sz w:val="24"/>
        </w:rPr>
      </w:pPr>
      <w:r>
        <w:rPr>
          <w:rFonts w:hint="eastAsia" w:ascii="宋体" w:hAnsi="宋体" w:cs="宋体"/>
          <w:color w:val="auto"/>
          <w:sz w:val="24"/>
        </w:rPr>
        <w:t>3、整个工程的工期为2021年4月25日-2021年5月15日，因人力不可抗拒的因素影响本合同执行时，甲乙双方协商解决。</w:t>
      </w:r>
    </w:p>
    <w:p>
      <w:pPr>
        <w:spacing w:line="360" w:lineRule="auto"/>
        <w:jc w:val="left"/>
        <w:rPr>
          <w:rFonts w:hint="eastAsia" w:ascii="宋体" w:hAnsi="宋体" w:cs="宋体"/>
          <w:color w:val="auto"/>
          <w:sz w:val="24"/>
        </w:rPr>
      </w:pPr>
    </w:p>
    <w:p>
      <w:pPr>
        <w:spacing w:line="360" w:lineRule="auto"/>
        <w:jc w:val="left"/>
        <w:rPr>
          <w:rFonts w:ascii="宋体" w:hAnsi="宋体" w:cs="宋体"/>
          <w:color w:val="auto"/>
          <w:sz w:val="28"/>
          <w:szCs w:val="28"/>
        </w:rPr>
      </w:pPr>
      <w:bookmarkStart w:id="20" w:name="_Toc16676_WPSOffice_Level1"/>
      <w:r>
        <w:rPr>
          <w:rFonts w:hint="eastAsia" w:ascii="宋体" w:hAnsi="宋体" w:cs="宋体"/>
          <w:color w:val="auto"/>
          <w:sz w:val="28"/>
          <w:szCs w:val="28"/>
        </w:rPr>
        <w:t>第四章  付款方式及发票</w:t>
      </w:r>
      <w:bookmarkEnd w:id="20"/>
      <w:r>
        <w:rPr>
          <w:rFonts w:hint="eastAsia" w:ascii="宋体" w:hAnsi="宋体" w:cs="宋体"/>
          <w:color w:val="auto"/>
          <w:sz w:val="28"/>
          <w:szCs w:val="28"/>
        </w:rPr>
        <w:t>（</w:t>
      </w:r>
      <w:r>
        <w:rPr>
          <w:rFonts w:ascii="宋体" w:hAnsi="宋体" w:cs="宋体"/>
          <w:color w:val="auto"/>
          <w:sz w:val="28"/>
          <w:szCs w:val="28"/>
        </w:rPr>
        <w:t>根据主合同）</w:t>
      </w:r>
    </w:p>
    <w:p>
      <w:pPr>
        <w:spacing w:line="360" w:lineRule="auto"/>
        <w:jc w:val="left"/>
        <w:rPr>
          <w:rFonts w:ascii="宋体" w:hAnsi="宋体" w:cs="宋体"/>
          <w:color w:val="000000"/>
          <w:sz w:val="24"/>
        </w:rPr>
      </w:pPr>
      <w:r>
        <w:rPr>
          <w:rFonts w:hint="eastAsia" w:ascii="宋体" w:hAnsi="宋体" w:cs="宋体"/>
          <w:color w:val="000000"/>
          <w:sz w:val="24"/>
        </w:rPr>
        <w:t>付款方式：采用银行电汇或承兑</w:t>
      </w:r>
    </w:p>
    <w:p>
      <w:pPr>
        <w:spacing w:line="360" w:lineRule="auto"/>
        <w:jc w:val="left"/>
        <w:rPr>
          <w:rFonts w:ascii="宋体" w:hAnsi="宋体" w:cs="宋体"/>
          <w:color w:val="000000"/>
          <w:sz w:val="24"/>
          <w:szCs w:val="22"/>
        </w:rPr>
      </w:pPr>
      <w:r>
        <w:rPr>
          <w:rFonts w:hint="eastAsia" w:ascii="宋体" w:hAnsi="宋体" w:cs="宋体"/>
          <w:color w:val="000000"/>
          <w:sz w:val="24"/>
          <w:szCs w:val="22"/>
        </w:rPr>
        <w:t>1、安装完成并验收合格后，同时收到乙方提供的全额增值税专用发票和双方签字的验收合格单后，60天内支付合同金额的60%，即1204980元。</w:t>
      </w:r>
    </w:p>
    <w:p>
      <w:pPr>
        <w:spacing w:line="360" w:lineRule="auto"/>
        <w:jc w:val="left"/>
        <w:rPr>
          <w:rFonts w:ascii="宋体" w:hAnsi="宋体" w:cs="宋体"/>
          <w:color w:val="000000"/>
          <w:sz w:val="24"/>
          <w:szCs w:val="22"/>
        </w:rPr>
      </w:pPr>
      <w:r>
        <w:rPr>
          <w:rFonts w:hint="eastAsia" w:ascii="宋体" w:hAnsi="宋体" w:cs="宋体"/>
          <w:color w:val="000000"/>
          <w:sz w:val="24"/>
          <w:szCs w:val="22"/>
        </w:rPr>
        <w:t xml:space="preserve">2、提交完工资料，并得到甲方确认后，甲方收到乙方提交的收款收据和甲方签署的完工文件收悉单原件后于60内支付合同金额的30%，即602490元； </w:t>
      </w:r>
    </w:p>
    <w:p>
      <w:pPr>
        <w:spacing w:line="360" w:lineRule="auto"/>
        <w:jc w:val="left"/>
        <w:rPr>
          <w:rFonts w:ascii="宋体" w:hAnsi="宋体" w:cs="宋体"/>
          <w:color w:val="000000"/>
          <w:sz w:val="24"/>
          <w:szCs w:val="22"/>
        </w:rPr>
      </w:pPr>
      <w:r>
        <w:rPr>
          <w:rFonts w:hint="eastAsia" w:ascii="宋体" w:hAnsi="宋体" w:cs="宋体"/>
          <w:color w:val="000000"/>
          <w:sz w:val="24"/>
          <w:szCs w:val="22"/>
        </w:rPr>
        <w:t>3、合同金额的10%作为质量保证金，质保期满后如未发现质量问题，甲方收到乙方开具的正本收款收据，甲方代表签发的质量保证金释放凭证后60内支付。</w:t>
      </w:r>
    </w:p>
    <w:p>
      <w:pPr>
        <w:spacing w:line="360" w:lineRule="auto"/>
        <w:jc w:val="left"/>
        <w:rPr>
          <w:rFonts w:hint="eastAsia" w:ascii="宋体" w:hAnsi="宋体" w:cs="宋体"/>
          <w:color w:val="000000"/>
          <w:sz w:val="28"/>
          <w:szCs w:val="28"/>
        </w:rPr>
      </w:pPr>
      <w:bookmarkStart w:id="21" w:name="_Toc25553_WPSOffice_Level1"/>
    </w:p>
    <w:p>
      <w:pPr>
        <w:spacing w:line="360" w:lineRule="auto"/>
        <w:jc w:val="left"/>
        <w:rPr>
          <w:rFonts w:ascii="宋体" w:hAnsi="宋体" w:cs="宋体"/>
          <w:color w:val="000000"/>
          <w:sz w:val="28"/>
          <w:szCs w:val="28"/>
        </w:rPr>
      </w:pPr>
      <w:r>
        <w:rPr>
          <w:rFonts w:hint="eastAsia" w:ascii="宋体" w:hAnsi="宋体" w:cs="宋体"/>
          <w:color w:val="000000"/>
          <w:sz w:val="28"/>
          <w:szCs w:val="28"/>
        </w:rPr>
        <w:t>第五章  变更价款与决算方法</w:t>
      </w:r>
      <w:bookmarkEnd w:id="21"/>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本工程造价为一次性包定价格(固定总价格合同)，除甲方或用户作工程设计变更情况下，价格保持本价格不变。</w:t>
      </w:r>
    </w:p>
    <w:p>
      <w:pPr>
        <w:spacing w:line="360" w:lineRule="auto"/>
        <w:jc w:val="left"/>
        <w:rPr>
          <w:rFonts w:ascii="宋体" w:hAnsi="宋体" w:cs="宋体"/>
          <w:color w:val="000000"/>
          <w:sz w:val="28"/>
          <w:szCs w:val="28"/>
        </w:rPr>
      </w:pPr>
      <w:bookmarkStart w:id="22" w:name="_Toc624_WPSOffice_Level1"/>
      <w:r>
        <w:rPr>
          <w:rFonts w:hint="eastAsia" w:ascii="宋体" w:hAnsi="宋体" w:cs="宋体"/>
          <w:color w:val="000000"/>
          <w:sz w:val="28"/>
          <w:szCs w:val="28"/>
        </w:rPr>
        <w:t>第六章  验收</w:t>
      </w:r>
      <w:bookmarkEnd w:id="22"/>
    </w:p>
    <w:p>
      <w:pPr>
        <w:spacing w:line="360" w:lineRule="auto"/>
        <w:jc w:val="left"/>
        <w:rPr>
          <w:rFonts w:ascii="宋体" w:hAnsi="宋体" w:cs="宋体"/>
          <w:color w:val="000000"/>
          <w:sz w:val="24"/>
        </w:rPr>
      </w:pPr>
      <w:r>
        <w:rPr>
          <w:rFonts w:hint="eastAsia" w:ascii="宋体" w:hAnsi="宋体" w:cs="宋体"/>
          <w:color w:val="000000"/>
          <w:sz w:val="24"/>
        </w:rPr>
        <w:t>1.本工程验收按照国家有关规范、标准、施工图及本合同相关条款进行。</w:t>
      </w:r>
    </w:p>
    <w:p>
      <w:pPr>
        <w:spacing w:line="360" w:lineRule="auto"/>
        <w:jc w:val="left"/>
        <w:rPr>
          <w:rFonts w:ascii="宋体" w:hAnsi="宋体" w:cs="宋体"/>
          <w:color w:val="000000"/>
          <w:sz w:val="24"/>
        </w:rPr>
      </w:pPr>
      <w:r>
        <w:rPr>
          <w:rFonts w:hint="eastAsia" w:ascii="宋体" w:hAnsi="宋体" w:cs="宋体"/>
          <w:color w:val="000000"/>
          <w:sz w:val="24"/>
        </w:rPr>
        <w:t>2.直燃热泵安装工程的验收按合同、设计图纸规定进行验收，验收采用按照工程进度进行，验收采用按照工程进度进行，每月甲方组织乙方对工程进度进行确认。</w:t>
      </w:r>
    </w:p>
    <w:p>
      <w:pPr>
        <w:spacing w:line="360" w:lineRule="auto"/>
        <w:jc w:val="left"/>
        <w:rPr>
          <w:rFonts w:ascii="宋体" w:hAnsi="宋体" w:cs="宋体"/>
          <w:color w:val="000000"/>
          <w:sz w:val="24"/>
        </w:rPr>
      </w:pPr>
      <w:r>
        <w:rPr>
          <w:rFonts w:hint="eastAsia" w:ascii="宋体" w:hAnsi="宋体" w:cs="宋体"/>
          <w:color w:val="000000"/>
          <w:sz w:val="24"/>
        </w:rPr>
        <w:t>3.甲方接到交工验收通知后，七日内组织验收。如乙方一次未能够调试成功，由乙方无条件负责修复和检查，所涉及的费用由乙方自行承担。若超出合同约定10天以上未能够交付本工程，乙方负责承担违约责任，按照5%/日向甲方支付赔偿金。</w:t>
      </w:r>
    </w:p>
    <w:p>
      <w:pPr>
        <w:spacing w:line="360" w:lineRule="auto"/>
        <w:jc w:val="left"/>
        <w:rPr>
          <w:rFonts w:ascii="宋体" w:hAnsi="宋体" w:cs="宋体"/>
          <w:color w:val="000000"/>
          <w:sz w:val="24"/>
        </w:rPr>
      </w:pPr>
      <w:r>
        <w:rPr>
          <w:rFonts w:hint="eastAsia" w:ascii="宋体" w:hAnsi="宋体" w:cs="宋体"/>
          <w:color w:val="000000"/>
          <w:sz w:val="24"/>
        </w:rPr>
        <w:t>4.如遇下列情况，经甲乙双方代表签证后，工期作相应顺延。在合同开工期前两天，不能向乙方提交施工场所；施工用水、电源未按照规定接通，影响乙方进场施工；在施工中，由于停水停电等意外原因，造成连续八小时以上者；非人力能抗拒的灾害等原因而影响工程进度者。</w:t>
      </w:r>
    </w:p>
    <w:p>
      <w:pPr>
        <w:spacing w:line="360" w:lineRule="auto"/>
        <w:jc w:val="left"/>
        <w:rPr>
          <w:rFonts w:hint="eastAsia" w:ascii="宋体" w:hAnsi="宋体" w:cs="宋体"/>
          <w:color w:val="000000"/>
          <w:sz w:val="24"/>
        </w:rPr>
      </w:pPr>
      <w:r>
        <w:rPr>
          <w:rFonts w:hint="eastAsia" w:ascii="宋体" w:hAnsi="宋体" w:cs="宋体"/>
          <w:color w:val="000000"/>
          <w:sz w:val="24"/>
        </w:rPr>
        <w:t>5.直燃热泵工程总体验收，双方在验收过程中，如有不合格部分乙方应及时返修合格，返修费用乙方承担。返修后验收合格双方在《 直燃热泵工程完工验收报告书》上签字，并正式移交。</w:t>
      </w:r>
    </w:p>
    <w:p>
      <w:pPr>
        <w:spacing w:line="360" w:lineRule="auto"/>
        <w:jc w:val="left"/>
        <w:rPr>
          <w:rFonts w:hint="eastAsia" w:ascii="宋体" w:hAnsi="宋体" w:cs="宋体"/>
          <w:color w:val="000000"/>
          <w:sz w:val="24"/>
        </w:rPr>
      </w:pPr>
    </w:p>
    <w:p>
      <w:pPr>
        <w:spacing w:line="360" w:lineRule="auto"/>
        <w:jc w:val="left"/>
        <w:rPr>
          <w:rFonts w:ascii="宋体" w:hAnsi="宋体" w:cs="宋体"/>
          <w:color w:val="000000"/>
          <w:sz w:val="28"/>
          <w:szCs w:val="28"/>
        </w:rPr>
      </w:pPr>
      <w:bookmarkStart w:id="23" w:name="_Toc10898_WPSOffice_Level1"/>
      <w:r>
        <w:rPr>
          <w:rFonts w:hint="eastAsia" w:ascii="宋体" w:hAnsi="宋体" w:cs="宋体"/>
          <w:color w:val="000000"/>
          <w:sz w:val="28"/>
          <w:szCs w:val="28"/>
        </w:rPr>
        <w:t>第七章  保修期与售后服务</w:t>
      </w:r>
      <w:bookmarkEnd w:id="23"/>
    </w:p>
    <w:p>
      <w:pPr>
        <w:spacing w:line="360" w:lineRule="auto"/>
        <w:jc w:val="left"/>
        <w:rPr>
          <w:rFonts w:ascii="宋体" w:hAnsi="宋体" w:cs="宋体"/>
          <w:color w:val="000000"/>
          <w:sz w:val="24"/>
          <w:szCs w:val="22"/>
        </w:rPr>
      </w:pPr>
      <w:r>
        <w:rPr>
          <w:rFonts w:hint="eastAsia" w:ascii="宋体" w:hAnsi="宋体" w:cs="宋体"/>
          <w:color w:val="000000"/>
          <w:sz w:val="24"/>
          <w:szCs w:val="22"/>
        </w:rPr>
        <w:t xml:space="preserve">1、乙方出售给甲方的设备（含配件）必须是完全符合甲方要求且为当年制造的 </w:t>
      </w:r>
    </w:p>
    <w:p>
      <w:pPr>
        <w:spacing w:line="360" w:lineRule="auto"/>
        <w:jc w:val="left"/>
        <w:rPr>
          <w:rFonts w:ascii="宋体" w:hAnsi="宋体" w:cs="宋体"/>
          <w:color w:val="000000"/>
          <w:sz w:val="24"/>
          <w:szCs w:val="22"/>
        </w:rPr>
      </w:pPr>
      <w:r>
        <w:rPr>
          <w:rFonts w:hint="eastAsia" w:ascii="宋体" w:hAnsi="宋体" w:cs="宋体"/>
          <w:color w:val="000000"/>
          <w:sz w:val="24"/>
          <w:szCs w:val="22"/>
        </w:rPr>
        <w:t xml:space="preserve">新品，同时应全部符合乙方提供的技术选型单中的规格、型号、性能技术参 </w:t>
      </w:r>
    </w:p>
    <w:p>
      <w:pPr>
        <w:spacing w:line="360" w:lineRule="auto"/>
        <w:jc w:val="left"/>
        <w:rPr>
          <w:rFonts w:ascii="宋体" w:hAnsi="宋体" w:cs="宋体"/>
          <w:color w:val="000000"/>
          <w:sz w:val="24"/>
          <w:szCs w:val="22"/>
        </w:rPr>
      </w:pPr>
      <w:r>
        <w:rPr>
          <w:rFonts w:hint="eastAsia" w:ascii="宋体" w:hAnsi="宋体" w:cs="宋体"/>
          <w:color w:val="000000"/>
          <w:sz w:val="24"/>
          <w:szCs w:val="22"/>
        </w:rPr>
        <w:t>数，且符合国家相关质量标准。</w:t>
      </w:r>
    </w:p>
    <w:p>
      <w:pPr>
        <w:spacing w:line="360" w:lineRule="auto"/>
        <w:jc w:val="left"/>
        <w:rPr>
          <w:rFonts w:ascii="宋体" w:hAnsi="宋体" w:cs="宋体"/>
          <w:color w:val="000000"/>
          <w:sz w:val="24"/>
          <w:szCs w:val="22"/>
        </w:rPr>
      </w:pPr>
      <w:r>
        <w:rPr>
          <w:rFonts w:hint="eastAsia" w:ascii="宋体" w:hAnsi="宋体" w:cs="宋体"/>
          <w:color w:val="000000"/>
          <w:sz w:val="24"/>
          <w:szCs w:val="22"/>
        </w:rPr>
        <w:t xml:space="preserve">2、总包工程取得竣工备案证书且本工程移交甲方次日起，即进入设备质量保证 </w:t>
      </w:r>
    </w:p>
    <w:p>
      <w:pPr>
        <w:spacing w:line="360" w:lineRule="auto"/>
        <w:jc w:val="left"/>
        <w:rPr>
          <w:rFonts w:ascii="宋体" w:hAnsi="宋体" w:cs="宋体"/>
          <w:color w:val="000000"/>
          <w:sz w:val="24"/>
          <w:szCs w:val="22"/>
        </w:rPr>
      </w:pPr>
      <w:r>
        <w:rPr>
          <w:rFonts w:hint="eastAsia" w:ascii="宋体" w:hAnsi="宋体" w:cs="宋体"/>
          <w:color w:val="000000"/>
          <w:sz w:val="24"/>
          <w:szCs w:val="22"/>
        </w:rPr>
        <w:t xml:space="preserve">期，时间 36 个月；若总包工程取得竣工备案证书之前未进行开机调试，则 </w:t>
      </w:r>
    </w:p>
    <w:p>
      <w:pPr>
        <w:spacing w:line="360" w:lineRule="auto"/>
        <w:jc w:val="left"/>
        <w:rPr>
          <w:rFonts w:ascii="宋体" w:hAnsi="宋体" w:cs="宋体"/>
          <w:color w:val="000000"/>
          <w:sz w:val="24"/>
          <w:szCs w:val="22"/>
        </w:rPr>
      </w:pPr>
      <w:r>
        <w:rPr>
          <w:rFonts w:hint="eastAsia" w:ascii="宋体" w:hAnsi="宋体" w:cs="宋体"/>
          <w:color w:val="000000"/>
          <w:sz w:val="24"/>
          <w:szCs w:val="22"/>
        </w:rPr>
        <w:t xml:space="preserve">按设备开机调试完成且本工程移交甲方次日起进入质保期，时间为36个月。 </w:t>
      </w:r>
    </w:p>
    <w:p>
      <w:pPr>
        <w:spacing w:line="360" w:lineRule="auto"/>
        <w:jc w:val="left"/>
        <w:rPr>
          <w:rFonts w:ascii="宋体" w:hAnsi="宋体" w:cs="宋体"/>
          <w:color w:val="000000"/>
          <w:sz w:val="24"/>
          <w:szCs w:val="22"/>
        </w:rPr>
      </w:pPr>
      <w:r>
        <w:rPr>
          <w:rFonts w:hint="eastAsia" w:ascii="宋体" w:hAnsi="宋体" w:cs="宋体"/>
          <w:color w:val="000000"/>
          <w:sz w:val="24"/>
          <w:szCs w:val="22"/>
        </w:rPr>
        <w:t xml:space="preserve">3、保修期内，乙方应根据甲方要求免费修理或更换所有存在缺陷的零部件或损 </w:t>
      </w:r>
    </w:p>
    <w:p>
      <w:pPr>
        <w:spacing w:line="360" w:lineRule="auto"/>
        <w:jc w:val="left"/>
        <w:rPr>
          <w:rFonts w:ascii="宋体" w:hAnsi="宋体" w:cs="宋体"/>
          <w:color w:val="000000"/>
          <w:sz w:val="24"/>
          <w:szCs w:val="22"/>
        </w:rPr>
      </w:pPr>
      <w:r>
        <w:rPr>
          <w:rFonts w:hint="eastAsia" w:ascii="宋体" w:hAnsi="宋体" w:cs="宋体"/>
          <w:color w:val="000000"/>
          <w:sz w:val="24"/>
          <w:szCs w:val="22"/>
        </w:rPr>
        <w:t xml:space="preserve">坏的零部件。保修期限届满后，如由于设备本身的设计缺陷、制造缺陷、质 </w:t>
      </w:r>
    </w:p>
    <w:p>
      <w:pPr>
        <w:spacing w:line="360" w:lineRule="auto"/>
        <w:jc w:val="left"/>
        <w:rPr>
          <w:rFonts w:ascii="宋体" w:hAnsi="宋体" w:cs="宋体"/>
          <w:color w:val="000000"/>
          <w:sz w:val="24"/>
          <w:szCs w:val="22"/>
        </w:rPr>
      </w:pPr>
      <w:r>
        <w:rPr>
          <w:rFonts w:hint="eastAsia" w:ascii="宋体" w:hAnsi="宋体" w:cs="宋体"/>
          <w:color w:val="000000"/>
          <w:sz w:val="24"/>
          <w:szCs w:val="22"/>
        </w:rPr>
        <w:t xml:space="preserve">量缺陷、安装缺陷等造成任何故障、事故、损失等，仍由乙方承担相应责任， </w:t>
      </w:r>
    </w:p>
    <w:p>
      <w:pPr>
        <w:spacing w:line="360" w:lineRule="auto"/>
        <w:jc w:val="left"/>
        <w:rPr>
          <w:rFonts w:ascii="宋体" w:hAnsi="宋体" w:cs="宋体"/>
          <w:color w:val="000000"/>
          <w:sz w:val="24"/>
          <w:szCs w:val="22"/>
        </w:rPr>
      </w:pPr>
      <w:r>
        <w:rPr>
          <w:rFonts w:hint="eastAsia" w:ascii="宋体" w:hAnsi="宋体" w:cs="宋体"/>
          <w:color w:val="000000"/>
          <w:sz w:val="24"/>
          <w:szCs w:val="22"/>
        </w:rPr>
        <w:t>包括但不限于免费更换、赔偿损失等。</w:t>
      </w:r>
    </w:p>
    <w:p>
      <w:pPr>
        <w:spacing w:line="360" w:lineRule="auto"/>
        <w:jc w:val="left"/>
        <w:rPr>
          <w:rFonts w:ascii="宋体" w:hAnsi="宋体" w:cs="宋体"/>
          <w:color w:val="000000"/>
          <w:sz w:val="24"/>
          <w:szCs w:val="22"/>
        </w:rPr>
      </w:pPr>
      <w:r>
        <w:rPr>
          <w:rFonts w:hint="eastAsia" w:ascii="宋体" w:hAnsi="宋体" w:cs="宋体"/>
          <w:color w:val="000000"/>
          <w:sz w:val="24"/>
          <w:szCs w:val="22"/>
        </w:rPr>
        <w:t xml:space="preserve">4、由于设备缺陷、故障等造成甲方、租户、顾客或其他第三方的全部直接和间 </w:t>
      </w:r>
    </w:p>
    <w:p>
      <w:pPr>
        <w:spacing w:line="360" w:lineRule="auto"/>
        <w:jc w:val="left"/>
        <w:rPr>
          <w:rFonts w:ascii="宋体" w:hAnsi="宋体" w:cs="宋体"/>
          <w:color w:val="000000"/>
          <w:sz w:val="24"/>
          <w:szCs w:val="22"/>
        </w:rPr>
      </w:pPr>
      <w:r>
        <w:rPr>
          <w:rFonts w:hint="eastAsia" w:ascii="宋体" w:hAnsi="宋体" w:cs="宋体"/>
          <w:color w:val="000000"/>
          <w:sz w:val="24"/>
          <w:szCs w:val="22"/>
        </w:rPr>
        <w:t xml:space="preserve">接损失的，由乙方承担赔偿责任。如届时另有索赔要求，则甲方有权但并无 </w:t>
      </w:r>
    </w:p>
    <w:p>
      <w:pPr>
        <w:spacing w:line="360" w:lineRule="auto"/>
        <w:jc w:val="left"/>
        <w:rPr>
          <w:rFonts w:ascii="宋体" w:hAnsi="宋体" w:cs="宋体"/>
          <w:color w:val="000000"/>
          <w:sz w:val="24"/>
          <w:szCs w:val="22"/>
        </w:rPr>
      </w:pPr>
      <w:r>
        <w:rPr>
          <w:rFonts w:hint="eastAsia" w:ascii="宋体" w:hAnsi="宋体" w:cs="宋体"/>
          <w:color w:val="000000"/>
          <w:sz w:val="24"/>
          <w:szCs w:val="22"/>
        </w:rPr>
        <w:t xml:space="preserve">义务全权代表乙方与客户进行索赔谈判并确定赔偿金额，谈判结果经甲方和 </w:t>
      </w:r>
    </w:p>
    <w:p>
      <w:pPr>
        <w:spacing w:line="360" w:lineRule="auto"/>
        <w:jc w:val="left"/>
        <w:rPr>
          <w:rFonts w:ascii="宋体" w:hAnsi="宋体" w:cs="宋体"/>
          <w:color w:val="000000"/>
          <w:sz w:val="24"/>
          <w:szCs w:val="22"/>
        </w:rPr>
      </w:pPr>
      <w:r>
        <w:rPr>
          <w:rFonts w:hint="eastAsia" w:ascii="宋体" w:hAnsi="宋体" w:cs="宋体"/>
          <w:color w:val="000000"/>
          <w:sz w:val="24"/>
          <w:szCs w:val="22"/>
        </w:rPr>
        <w:t xml:space="preserve">索赔方签字后立即生效，甲方将谈判结果通知乙方后，须承担的费用总额要 </w:t>
      </w:r>
    </w:p>
    <w:p>
      <w:pPr>
        <w:spacing w:line="360" w:lineRule="auto"/>
        <w:jc w:val="left"/>
        <w:rPr>
          <w:rFonts w:ascii="宋体" w:hAnsi="宋体" w:cs="宋体"/>
          <w:color w:val="000000"/>
          <w:sz w:val="24"/>
          <w:szCs w:val="22"/>
        </w:rPr>
      </w:pPr>
      <w:r>
        <w:rPr>
          <w:rFonts w:hint="eastAsia" w:ascii="宋体" w:hAnsi="宋体" w:cs="宋体"/>
          <w:color w:val="000000"/>
          <w:sz w:val="24"/>
          <w:szCs w:val="22"/>
        </w:rPr>
        <w:t xml:space="preserve">求乙方直接向客户进行赔付，乙方特此授权甲方并承诺按相关谈判结果执行。 </w:t>
      </w:r>
    </w:p>
    <w:p>
      <w:pPr>
        <w:spacing w:line="360" w:lineRule="auto"/>
        <w:jc w:val="left"/>
        <w:rPr>
          <w:rFonts w:ascii="宋体" w:hAnsi="宋体" w:cs="宋体"/>
          <w:color w:val="000000"/>
          <w:sz w:val="24"/>
          <w:szCs w:val="22"/>
        </w:rPr>
      </w:pPr>
      <w:r>
        <w:rPr>
          <w:rFonts w:hint="eastAsia" w:ascii="宋体" w:hAnsi="宋体" w:cs="宋体"/>
          <w:color w:val="000000"/>
          <w:sz w:val="24"/>
          <w:szCs w:val="22"/>
        </w:rPr>
        <w:t xml:space="preserve">5、如乙方无法联系、维修不及时、材料配备不及时或维修质量无法达到甲方要 </w:t>
      </w:r>
    </w:p>
    <w:p>
      <w:pPr>
        <w:spacing w:line="360" w:lineRule="auto"/>
        <w:jc w:val="left"/>
        <w:rPr>
          <w:rFonts w:ascii="宋体" w:hAnsi="宋体" w:cs="宋体"/>
          <w:color w:val="000000"/>
          <w:sz w:val="24"/>
          <w:szCs w:val="22"/>
        </w:rPr>
      </w:pPr>
      <w:r>
        <w:rPr>
          <w:rFonts w:hint="eastAsia" w:ascii="宋体" w:hAnsi="宋体" w:cs="宋体"/>
          <w:color w:val="000000"/>
          <w:sz w:val="24"/>
          <w:szCs w:val="22"/>
        </w:rPr>
        <w:t xml:space="preserve">求等，则甲方有权委托他方代为维修而无需乙方另行确认，由此所发生的费 </w:t>
      </w:r>
    </w:p>
    <w:p>
      <w:pPr>
        <w:spacing w:line="360" w:lineRule="auto"/>
        <w:jc w:val="left"/>
        <w:rPr>
          <w:rFonts w:hint="eastAsia" w:ascii="宋体" w:hAnsi="宋体" w:cs="宋体"/>
          <w:color w:val="000000"/>
          <w:sz w:val="24"/>
          <w:szCs w:val="22"/>
        </w:rPr>
      </w:pPr>
      <w:r>
        <w:rPr>
          <w:rFonts w:hint="eastAsia" w:ascii="宋体" w:hAnsi="宋体" w:cs="宋体"/>
          <w:color w:val="000000"/>
          <w:sz w:val="24"/>
          <w:szCs w:val="22"/>
        </w:rPr>
        <w:t>用由乙方承担。</w:t>
      </w:r>
    </w:p>
    <w:p>
      <w:pPr>
        <w:spacing w:line="360" w:lineRule="auto"/>
        <w:jc w:val="left"/>
        <w:rPr>
          <w:rFonts w:hint="eastAsia" w:ascii="宋体" w:hAnsi="宋体" w:cs="宋体"/>
          <w:color w:val="000000"/>
          <w:sz w:val="24"/>
          <w:szCs w:val="22"/>
        </w:rPr>
      </w:pPr>
    </w:p>
    <w:p>
      <w:pPr>
        <w:spacing w:line="360" w:lineRule="auto"/>
        <w:jc w:val="left"/>
        <w:rPr>
          <w:rFonts w:ascii="宋体" w:hAnsi="宋体" w:cs="宋体"/>
          <w:color w:val="000000"/>
          <w:sz w:val="28"/>
          <w:szCs w:val="28"/>
        </w:rPr>
      </w:pPr>
      <w:bookmarkStart w:id="24" w:name="_Toc7772_WPSOffice_Level1"/>
      <w:r>
        <w:rPr>
          <w:rFonts w:hint="eastAsia" w:ascii="宋体" w:hAnsi="宋体" w:cs="宋体"/>
          <w:color w:val="000000"/>
          <w:sz w:val="28"/>
          <w:szCs w:val="28"/>
        </w:rPr>
        <w:t>第八章  培训</w:t>
      </w:r>
      <w:bookmarkEnd w:id="24"/>
      <w:r>
        <w:rPr>
          <w:rFonts w:hint="eastAsia" w:ascii="宋体" w:hAnsi="宋体" w:cs="宋体"/>
          <w:color w:val="000000"/>
          <w:sz w:val="24"/>
        </w:rPr>
        <w:t xml:space="preserve"> </w:t>
      </w:r>
    </w:p>
    <w:p>
      <w:pPr>
        <w:spacing w:line="360" w:lineRule="auto"/>
        <w:jc w:val="left"/>
        <w:rPr>
          <w:rFonts w:hint="eastAsia" w:ascii="宋体" w:hAnsi="宋体" w:cs="宋体"/>
          <w:color w:val="000000"/>
          <w:sz w:val="24"/>
        </w:rPr>
      </w:pPr>
      <w:r>
        <w:rPr>
          <w:rFonts w:hint="eastAsia" w:ascii="宋体" w:hAnsi="宋体" w:cs="宋体"/>
          <w:color w:val="000000"/>
          <w:sz w:val="24"/>
        </w:rPr>
        <w:t xml:space="preserve">1、乙方在进行空调系统的安装、调试中对用户指定的操作人员进行现场培训，培训期至本工程验收合格之日终止，达到设备操作人员能够独立操作相关设备。 </w:t>
      </w:r>
    </w:p>
    <w:p>
      <w:pPr>
        <w:spacing w:line="360" w:lineRule="auto"/>
        <w:jc w:val="left"/>
        <w:rPr>
          <w:rFonts w:hint="eastAsia" w:ascii="宋体" w:hAnsi="宋体" w:cs="宋体"/>
          <w:color w:val="000000"/>
          <w:sz w:val="24"/>
        </w:rPr>
      </w:pPr>
    </w:p>
    <w:p>
      <w:pPr>
        <w:spacing w:line="360" w:lineRule="auto"/>
        <w:jc w:val="left"/>
        <w:rPr>
          <w:rFonts w:ascii="宋体" w:hAnsi="宋体" w:cs="宋体"/>
          <w:color w:val="000000"/>
          <w:sz w:val="28"/>
          <w:szCs w:val="28"/>
        </w:rPr>
      </w:pPr>
      <w:bookmarkStart w:id="25" w:name="_Toc21984_WPSOffice_Level1"/>
      <w:r>
        <w:rPr>
          <w:rFonts w:hint="eastAsia" w:ascii="宋体" w:hAnsi="宋体" w:cs="宋体"/>
          <w:color w:val="000000"/>
          <w:sz w:val="28"/>
          <w:szCs w:val="28"/>
        </w:rPr>
        <w:t>第九章　索赔</w:t>
      </w:r>
      <w:bookmarkEnd w:id="25"/>
    </w:p>
    <w:p>
      <w:pPr>
        <w:spacing w:line="360" w:lineRule="auto"/>
        <w:jc w:val="left"/>
        <w:rPr>
          <w:rFonts w:ascii="宋体" w:hAnsi="宋体" w:cs="宋体"/>
          <w:color w:val="000000"/>
          <w:sz w:val="24"/>
        </w:rPr>
      </w:pPr>
      <w:r>
        <w:rPr>
          <w:rFonts w:hint="eastAsia" w:ascii="宋体" w:hAnsi="宋体" w:cs="宋体"/>
          <w:color w:val="000000"/>
          <w:sz w:val="24"/>
        </w:rPr>
        <w:t>1.乙方未达到本合同规定的要求，负责排除缺陷，并达到本合同规定的要求。</w:t>
      </w:r>
    </w:p>
    <w:p>
      <w:pPr>
        <w:spacing w:line="360" w:lineRule="auto"/>
        <w:jc w:val="left"/>
        <w:rPr>
          <w:rFonts w:ascii="宋体" w:hAnsi="宋体" w:cs="宋体"/>
          <w:color w:val="000000"/>
          <w:sz w:val="24"/>
        </w:rPr>
      </w:pPr>
      <w:r>
        <w:rPr>
          <w:rFonts w:hint="eastAsia" w:ascii="宋体" w:hAnsi="宋体" w:cs="宋体"/>
          <w:color w:val="000000"/>
          <w:sz w:val="24"/>
        </w:rPr>
        <w:t>2.甲方未按合同规定的日期和要求履行应尽的责任和义务，影响乙方直燃热泵工程安装进度，则工程完工日期顺延。</w:t>
      </w:r>
    </w:p>
    <w:p>
      <w:pPr>
        <w:spacing w:line="360" w:lineRule="auto"/>
        <w:jc w:val="left"/>
        <w:rPr>
          <w:rFonts w:hint="eastAsia" w:ascii="宋体" w:hAnsi="宋体" w:cs="宋体"/>
          <w:color w:val="000000"/>
          <w:sz w:val="24"/>
        </w:rPr>
      </w:pPr>
      <w:r>
        <w:rPr>
          <w:rFonts w:hint="eastAsia" w:ascii="宋体" w:hAnsi="宋体" w:cs="宋体"/>
          <w:color w:val="000000"/>
          <w:sz w:val="24"/>
        </w:rPr>
        <w:t>3.由于乙方的原因，给甲方造成经济损失的，由乙方负责按实赔偿。</w:t>
      </w:r>
    </w:p>
    <w:p>
      <w:pPr>
        <w:spacing w:line="360" w:lineRule="auto"/>
        <w:jc w:val="left"/>
        <w:rPr>
          <w:rFonts w:hint="eastAsia" w:ascii="宋体" w:hAnsi="宋体" w:cs="宋体"/>
          <w:color w:val="000000"/>
          <w:sz w:val="24"/>
        </w:rPr>
      </w:pPr>
    </w:p>
    <w:p>
      <w:pPr>
        <w:spacing w:line="360" w:lineRule="auto"/>
        <w:jc w:val="left"/>
        <w:rPr>
          <w:rFonts w:ascii="宋体" w:hAnsi="宋体" w:cs="宋体"/>
          <w:color w:val="000000"/>
          <w:sz w:val="24"/>
        </w:rPr>
      </w:pPr>
      <w:r>
        <w:rPr>
          <w:rFonts w:hint="eastAsia" w:ascii="宋体" w:hAnsi="宋体" w:cs="宋体"/>
          <w:color w:val="000000"/>
          <w:sz w:val="28"/>
          <w:szCs w:val="28"/>
        </w:rPr>
        <w:t>　</w:t>
      </w:r>
      <w:bookmarkStart w:id="26" w:name="_Toc12379_WPSOffice_Level1"/>
      <w:r>
        <w:rPr>
          <w:rFonts w:hint="eastAsia" w:ascii="宋体" w:hAnsi="宋体" w:cs="宋体"/>
          <w:color w:val="000000"/>
          <w:sz w:val="28"/>
          <w:szCs w:val="28"/>
        </w:rPr>
        <w:t>第十章　争议的解决</w:t>
      </w:r>
      <w:bookmarkEnd w:id="26"/>
    </w:p>
    <w:p>
      <w:pPr>
        <w:spacing w:line="360" w:lineRule="auto"/>
        <w:jc w:val="left"/>
        <w:rPr>
          <w:rFonts w:hint="eastAsia" w:ascii="宋体" w:hAnsi="宋体" w:cs="宋体"/>
          <w:color w:val="000000"/>
          <w:sz w:val="24"/>
        </w:rPr>
      </w:pPr>
      <w:r>
        <w:rPr>
          <w:rFonts w:hint="eastAsia" w:ascii="宋体" w:hAnsi="宋体" w:cs="宋体"/>
          <w:color w:val="000000"/>
          <w:sz w:val="24"/>
        </w:rPr>
        <w:t xml:space="preserve">   甲、乙双方发生争议时，可以通过协商进行解决。协商不成的，可以向甲方当地人民法院起诉。</w:t>
      </w:r>
    </w:p>
    <w:p>
      <w:pPr>
        <w:spacing w:line="360" w:lineRule="auto"/>
        <w:jc w:val="left"/>
        <w:rPr>
          <w:rFonts w:hint="eastAsia" w:ascii="宋体" w:hAnsi="宋体" w:cs="宋体"/>
          <w:color w:val="000000"/>
          <w:sz w:val="24"/>
        </w:rPr>
      </w:pPr>
    </w:p>
    <w:p>
      <w:pPr>
        <w:spacing w:line="360" w:lineRule="auto"/>
        <w:jc w:val="left"/>
        <w:rPr>
          <w:rFonts w:ascii="宋体" w:hAnsi="宋体" w:cs="宋体"/>
          <w:color w:val="000000"/>
          <w:sz w:val="24"/>
        </w:rPr>
      </w:pPr>
      <w:r>
        <w:rPr>
          <w:rFonts w:hint="eastAsia" w:ascii="宋体" w:hAnsi="宋体" w:cs="宋体"/>
          <w:color w:val="000000"/>
          <w:sz w:val="24"/>
        </w:rPr>
        <w:t xml:space="preserve"> </w:t>
      </w:r>
      <w:bookmarkStart w:id="27" w:name="_Toc12482_WPSOffice_Level1"/>
      <w:r>
        <w:rPr>
          <w:rFonts w:hint="eastAsia" w:ascii="宋体" w:hAnsi="宋体" w:cs="宋体"/>
          <w:color w:val="000000"/>
          <w:sz w:val="28"/>
          <w:szCs w:val="28"/>
        </w:rPr>
        <w:t>第十一章  施工安全措施</w:t>
      </w:r>
      <w:bookmarkEnd w:id="27"/>
    </w:p>
    <w:p>
      <w:pPr>
        <w:spacing w:line="360" w:lineRule="auto"/>
        <w:jc w:val="left"/>
        <w:rPr>
          <w:rFonts w:ascii="宋体" w:hAnsi="宋体" w:cs="宋体"/>
          <w:color w:val="000000"/>
          <w:sz w:val="24"/>
        </w:rPr>
      </w:pPr>
      <w:r>
        <w:rPr>
          <w:rFonts w:hint="eastAsia" w:ascii="宋体" w:hAnsi="宋体" w:cs="宋体"/>
          <w:color w:val="000000"/>
          <w:sz w:val="24"/>
        </w:rPr>
        <w:t>1.乙方按有关规定采取严格的安全防护措施，承担由于自身安全措施不力造成事故的责任和因此发生的费用。</w:t>
      </w:r>
    </w:p>
    <w:p>
      <w:pPr>
        <w:spacing w:line="360" w:lineRule="auto"/>
        <w:jc w:val="left"/>
        <w:rPr>
          <w:rFonts w:hint="eastAsia" w:ascii="宋体" w:hAnsi="宋体" w:cs="宋体"/>
          <w:color w:val="000000"/>
          <w:sz w:val="24"/>
        </w:rPr>
      </w:pPr>
      <w:r>
        <w:rPr>
          <w:rFonts w:hint="eastAsia" w:ascii="宋体" w:hAnsi="宋体" w:cs="宋体"/>
          <w:color w:val="000000"/>
          <w:sz w:val="24"/>
        </w:rPr>
        <w:t>2.发生重大伤亡事故，乙方应按有关规定立即上报有关部门并通知甲方代表，同时按政府有关部门要求进行处理。甲方协助为抢救提供必要条件，发生的费用由事故责任方承担。</w:t>
      </w:r>
    </w:p>
    <w:p>
      <w:pPr>
        <w:spacing w:line="360" w:lineRule="auto"/>
        <w:jc w:val="left"/>
        <w:rPr>
          <w:rFonts w:hint="eastAsia" w:ascii="宋体" w:hAnsi="宋体" w:cs="宋体"/>
          <w:color w:val="000000"/>
          <w:sz w:val="24"/>
        </w:rPr>
      </w:pPr>
    </w:p>
    <w:p>
      <w:pPr>
        <w:spacing w:line="360" w:lineRule="auto"/>
        <w:jc w:val="left"/>
        <w:rPr>
          <w:rFonts w:ascii="宋体" w:hAnsi="宋体" w:cs="宋体"/>
          <w:color w:val="000000"/>
          <w:sz w:val="28"/>
          <w:szCs w:val="28"/>
        </w:rPr>
      </w:pPr>
      <w:bookmarkStart w:id="28" w:name="_Toc1846_WPSOffice_Level1"/>
      <w:r>
        <w:rPr>
          <w:rFonts w:hint="eastAsia" w:ascii="宋体" w:hAnsi="宋体" w:cs="宋体"/>
          <w:color w:val="000000"/>
          <w:sz w:val="28"/>
          <w:szCs w:val="28"/>
        </w:rPr>
        <w:t>第十二章： 保险</w:t>
      </w:r>
      <w:bookmarkEnd w:id="28"/>
    </w:p>
    <w:p>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 xml:space="preserve"> 在本合同期间分包方应就下述范围投保并维持该等保险以便在发生下述事宜时保证甲方免受相关的一切损失和索赔：</w:t>
      </w:r>
    </w:p>
    <w:p>
      <w:pPr>
        <w:spacing w:line="400" w:lineRule="exact"/>
        <w:rPr>
          <w:rFonts w:ascii="宋体" w:hAnsi="宋体" w:cs="宋体"/>
          <w:color w:val="000000"/>
          <w:sz w:val="24"/>
          <w:szCs w:val="24"/>
        </w:rPr>
      </w:pPr>
      <w:r>
        <w:rPr>
          <w:rFonts w:hint="eastAsia" w:ascii="宋体" w:hAnsi="宋体" w:cs="宋体"/>
          <w:color w:val="000000"/>
          <w:sz w:val="24"/>
          <w:szCs w:val="24"/>
        </w:rPr>
        <w:t>1、设计或制造缺陷引起的后果。</w:t>
      </w:r>
    </w:p>
    <w:p>
      <w:pPr>
        <w:spacing w:line="400" w:lineRule="exact"/>
        <w:rPr>
          <w:rFonts w:ascii="宋体" w:hAnsi="宋体" w:cs="宋体"/>
          <w:color w:val="000000"/>
          <w:sz w:val="24"/>
          <w:szCs w:val="24"/>
        </w:rPr>
      </w:pPr>
      <w:r>
        <w:rPr>
          <w:rFonts w:hint="eastAsia" w:ascii="宋体" w:hAnsi="宋体" w:cs="宋体"/>
          <w:color w:val="000000"/>
          <w:sz w:val="24"/>
          <w:szCs w:val="24"/>
        </w:rPr>
        <w:t>2、因货物缺陷、交付、安装或维保引起的任何人员的死亡或受伤。</w:t>
      </w:r>
    </w:p>
    <w:p>
      <w:pPr>
        <w:spacing w:line="400" w:lineRule="exact"/>
        <w:rPr>
          <w:rFonts w:hint="eastAsia" w:ascii="宋体" w:hAnsi="宋体" w:cs="宋体"/>
          <w:color w:val="000000"/>
          <w:sz w:val="24"/>
          <w:szCs w:val="24"/>
        </w:rPr>
      </w:pPr>
      <w:r>
        <w:rPr>
          <w:rFonts w:hint="eastAsia" w:ascii="宋体" w:hAnsi="宋体" w:cs="宋体"/>
          <w:color w:val="000000"/>
          <w:sz w:val="24"/>
          <w:szCs w:val="24"/>
        </w:rPr>
        <w:t>3、因货物缺陷、交付、安装或维保任何财产的损失或损坏。</w:t>
      </w:r>
    </w:p>
    <w:p>
      <w:pPr>
        <w:spacing w:line="400" w:lineRule="exact"/>
        <w:rPr>
          <w:rFonts w:hint="eastAsia" w:ascii="宋体" w:hAnsi="宋体" w:cs="宋体"/>
          <w:color w:val="000000"/>
          <w:sz w:val="24"/>
          <w:szCs w:val="24"/>
        </w:rPr>
      </w:pPr>
    </w:p>
    <w:p>
      <w:pPr>
        <w:spacing w:line="360" w:lineRule="auto"/>
        <w:jc w:val="left"/>
        <w:rPr>
          <w:rFonts w:ascii="宋体" w:hAnsi="宋体" w:cs="宋体"/>
          <w:color w:val="000000"/>
          <w:sz w:val="24"/>
        </w:rPr>
      </w:pPr>
      <w:bookmarkStart w:id="29" w:name="_Toc10067_WPSOffice_Level1"/>
      <w:r>
        <w:rPr>
          <w:rFonts w:hint="eastAsia" w:ascii="宋体" w:hAnsi="宋体" w:cs="宋体"/>
          <w:color w:val="000000"/>
          <w:sz w:val="28"/>
          <w:szCs w:val="28"/>
        </w:rPr>
        <w:t>第十三章  合同有效期</w:t>
      </w:r>
      <w:bookmarkEnd w:id="29"/>
    </w:p>
    <w:p>
      <w:pPr>
        <w:spacing w:line="360" w:lineRule="auto"/>
        <w:jc w:val="left"/>
        <w:rPr>
          <w:rFonts w:hint="eastAsia" w:ascii="宋体" w:hAnsi="宋体" w:cs="宋体"/>
          <w:color w:val="000000"/>
          <w:sz w:val="24"/>
        </w:rPr>
      </w:pPr>
      <w:r>
        <w:rPr>
          <w:rFonts w:hint="eastAsia" w:ascii="宋体" w:hAnsi="宋体" w:cs="宋体"/>
          <w:color w:val="000000"/>
          <w:sz w:val="24"/>
        </w:rPr>
        <w:t xml:space="preserve"> 甲乙双方签字盖章即日起生效。</w:t>
      </w:r>
    </w:p>
    <w:p>
      <w:pPr>
        <w:spacing w:line="360" w:lineRule="auto"/>
        <w:jc w:val="left"/>
        <w:rPr>
          <w:rFonts w:hint="eastAsia" w:ascii="宋体" w:hAnsi="宋体" w:cs="宋体"/>
          <w:color w:val="000000"/>
          <w:sz w:val="24"/>
        </w:rPr>
      </w:pPr>
    </w:p>
    <w:p>
      <w:pPr>
        <w:spacing w:line="360" w:lineRule="auto"/>
        <w:jc w:val="left"/>
        <w:rPr>
          <w:rFonts w:ascii="宋体" w:hAnsi="宋体" w:cs="宋体"/>
          <w:color w:val="000000"/>
          <w:sz w:val="24"/>
        </w:rPr>
      </w:pPr>
      <w:bookmarkStart w:id="30" w:name="_Toc29190"/>
      <w:bookmarkStart w:id="31" w:name="_Toc7490_WPSOffice_Level1"/>
      <w:r>
        <w:rPr>
          <w:rFonts w:hint="eastAsia" w:ascii="宋体" w:hAnsi="宋体" w:cs="宋体"/>
          <w:color w:val="000000"/>
          <w:sz w:val="28"/>
          <w:szCs w:val="28"/>
        </w:rPr>
        <w:t xml:space="preserve">第十四章  </w:t>
      </w:r>
      <w:bookmarkEnd w:id="30"/>
      <w:bookmarkStart w:id="32" w:name="_Toc26800"/>
      <w:r>
        <w:rPr>
          <w:rFonts w:hint="eastAsia" w:ascii="宋体" w:hAnsi="宋体" w:cs="宋体"/>
          <w:color w:val="000000"/>
          <w:sz w:val="28"/>
          <w:szCs w:val="28"/>
        </w:rPr>
        <w:t>其它</w:t>
      </w:r>
      <w:bookmarkEnd w:id="31"/>
      <w:bookmarkEnd w:id="32"/>
    </w:p>
    <w:p>
      <w:pPr>
        <w:spacing w:line="360" w:lineRule="auto"/>
        <w:jc w:val="left"/>
        <w:rPr>
          <w:rFonts w:ascii="宋体" w:hAnsi="宋体" w:cs="宋体"/>
          <w:color w:val="000000"/>
          <w:sz w:val="24"/>
        </w:rPr>
      </w:pPr>
      <w:r>
        <w:rPr>
          <w:rFonts w:hint="eastAsia" w:ascii="宋体" w:hAnsi="宋体" w:cs="宋体"/>
          <w:color w:val="000000"/>
          <w:sz w:val="24"/>
        </w:rPr>
        <w:t>1.本合同在履行中，对任何条款的修改与补充必须经双方签署书面文件，与本合同具有同等效力。</w:t>
      </w:r>
    </w:p>
    <w:p>
      <w:pPr>
        <w:spacing w:line="360" w:lineRule="auto"/>
        <w:jc w:val="left"/>
        <w:rPr>
          <w:rFonts w:ascii="宋体" w:hAnsi="宋体" w:cs="宋体"/>
          <w:color w:val="000000"/>
          <w:sz w:val="24"/>
        </w:rPr>
      </w:pPr>
      <w:r>
        <w:rPr>
          <w:rFonts w:hint="eastAsia" w:ascii="宋体" w:hAnsi="宋体" w:cs="宋体"/>
          <w:color w:val="000000"/>
          <w:sz w:val="24"/>
        </w:rPr>
        <w:t>2.本合同未尽事宜，双方友好协商解决。</w:t>
      </w:r>
    </w:p>
    <w:p>
      <w:pPr>
        <w:spacing w:line="360" w:lineRule="auto"/>
        <w:jc w:val="left"/>
        <w:rPr>
          <w:rFonts w:hint="eastAsia" w:ascii="宋体" w:hAnsi="宋体" w:cs="宋体"/>
          <w:color w:val="000000"/>
          <w:sz w:val="24"/>
        </w:rPr>
      </w:pPr>
      <w:r>
        <w:rPr>
          <w:rFonts w:hint="eastAsia" w:ascii="宋体" w:hAnsi="宋体" w:cs="宋体"/>
          <w:color w:val="000000"/>
          <w:sz w:val="24"/>
        </w:rPr>
        <w:t>3.本合同正本一式四份，双方各执二份。</w:t>
      </w:r>
      <w:bookmarkStart w:id="33" w:name="_Toc13967_WPSOffice_Level1"/>
    </w:p>
    <w:p>
      <w:pPr>
        <w:spacing w:line="360" w:lineRule="auto"/>
        <w:jc w:val="left"/>
        <w:rPr>
          <w:rFonts w:hint="eastAsia" w:ascii="宋体" w:hAnsi="宋体" w:cs="宋体"/>
          <w:color w:val="000000"/>
          <w:sz w:val="24"/>
        </w:rPr>
      </w:pPr>
    </w:p>
    <w:p>
      <w:pPr>
        <w:numPr>
          <w:ilvl w:val="0"/>
          <w:numId w:val="5"/>
        </w:numPr>
        <w:spacing w:line="360" w:lineRule="auto"/>
        <w:jc w:val="left"/>
        <w:rPr>
          <w:rFonts w:ascii="宋体" w:hAnsi="宋体" w:cs="宋体"/>
          <w:color w:val="000000"/>
          <w:sz w:val="28"/>
          <w:szCs w:val="28"/>
        </w:rPr>
      </w:pPr>
      <w:r>
        <w:rPr>
          <w:rFonts w:hint="eastAsia" w:ascii="宋体" w:hAnsi="宋体" w:cs="宋体"/>
          <w:color w:val="000000"/>
          <w:sz w:val="28"/>
          <w:szCs w:val="28"/>
        </w:rPr>
        <w:t xml:space="preserve"> </w:t>
      </w:r>
      <w:bookmarkEnd w:id="33"/>
      <w:r>
        <w:rPr>
          <w:rFonts w:hint="eastAsia" w:ascii="宋体" w:hAnsi="宋体" w:cs="宋体"/>
          <w:color w:val="000000"/>
          <w:sz w:val="28"/>
          <w:szCs w:val="28"/>
        </w:rPr>
        <w:t>附件</w:t>
      </w:r>
    </w:p>
    <w:p>
      <w:pPr>
        <w:spacing w:line="360" w:lineRule="auto"/>
        <w:jc w:val="left"/>
        <w:rPr>
          <w:rFonts w:ascii="宋体" w:hAnsi="宋体" w:cs="宋体"/>
          <w:color w:val="000000"/>
          <w:sz w:val="24"/>
          <w:szCs w:val="22"/>
        </w:rPr>
      </w:pPr>
      <w:r>
        <w:rPr>
          <w:rFonts w:hint="eastAsia" w:ascii="宋体" w:hAnsi="宋体" w:cs="宋体"/>
          <w:color w:val="000000"/>
          <w:sz w:val="24"/>
          <w:szCs w:val="22"/>
        </w:rPr>
        <w:t>1、工程量及价格</w:t>
      </w:r>
    </w:p>
    <w:p>
      <w:pPr>
        <w:spacing w:line="480" w:lineRule="auto"/>
        <w:rPr>
          <w:rFonts w:ascii="宋体" w:hAnsi="宋体" w:cs="宋体"/>
          <w:color w:val="000000"/>
          <w:sz w:val="24"/>
        </w:rPr>
      </w:pPr>
      <w:r>
        <w:rPr>
          <w:rFonts w:hint="eastAsia" w:ascii="宋体" w:hAnsi="宋体" w:cs="宋体"/>
          <w:color w:val="000000"/>
          <w:sz w:val="24"/>
        </w:rPr>
        <w:t>甲乙</w:t>
      </w:r>
      <w:r>
        <w:rPr>
          <w:rFonts w:ascii="宋体" w:hAnsi="宋体" w:cs="宋体"/>
          <w:color w:val="000000"/>
          <w:sz w:val="24"/>
        </w:rPr>
        <w:t>双方陈述如下：</w:t>
      </w:r>
    </w:p>
    <w:tbl>
      <w:tblPr>
        <w:tblStyle w:val="26"/>
        <w:tblW w:w="105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95"/>
        <w:gridCol w:w="3223"/>
        <w:gridCol w:w="1975"/>
        <w:gridCol w:w="3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664" w:type="dxa"/>
            <w:gridSpan w:val="2"/>
            <w:vAlign w:val="center"/>
          </w:tcPr>
          <w:p>
            <w:pPr>
              <w:jc w:val="center"/>
              <w:rPr>
                <w:sz w:val="24"/>
                <w:szCs w:val="24"/>
              </w:rPr>
            </w:pPr>
            <w:r>
              <w:rPr>
                <w:rFonts w:hint="eastAsia"/>
                <w:sz w:val="24"/>
                <w:szCs w:val="24"/>
              </w:rPr>
              <w:t>甲方</w:t>
            </w:r>
          </w:p>
        </w:tc>
        <w:tc>
          <w:tcPr>
            <w:tcW w:w="5136" w:type="dxa"/>
            <w:gridSpan w:val="2"/>
            <w:vAlign w:val="center"/>
          </w:tcPr>
          <w:p>
            <w:pPr>
              <w:jc w:val="center"/>
              <w:rPr>
                <w:sz w:val="24"/>
                <w:szCs w:val="24"/>
              </w:rPr>
            </w:pPr>
            <w:r>
              <w:rPr>
                <w:rFonts w:hint="eastAsia"/>
                <w:sz w:val="24"/>
                <w:szCs w:val="24"/>
              </w:rPr>
              <w:t>乙方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68" w:type="dxa"/>
            <w:vAlign w:val="center"/>
          </w:tcPr>
          <w:p>
            <w:pPr>
              <w:jc w:val="distribute"/>
              <w:rPr>
                <w:sz w:val="24"/>
                <w:szCs w:val="24"/>
              </w:rPr>
            </w:pPr>
            <w:r>
              <w:rPr>
                <w:rFonts w:hint="eastAsia" w:ascii="宋体" w:hAnsi="宋体"/>
                <w:spacing w:val="30"/>
                <w:sz w:val="24"/>
              </w:rPr>
              <w:t>单位名称</w:t>
            </w:r>
            <w:r>
              <w:rPr>
                <w:rFonts w:hint="eastAsia" w:ascii="宋体" w:hAnsi="宋体"/>
                <w:sz w:val="24"/>
              </w:rPr>
              <w:t>：</w:t>
            </w:r>
          </w:p>
        </w:tc>
        <w:tc>
          <w:tcPr>
            <w:tcW w:w="2996" w:type="dxa"/>
            <w:vAlign w:val="center"/>
          </w:tcPr>
          <w:p>
            <w:pPr>
              <w:rPr>
                <w:sz w:val="24"/>
                <w:szCs w:val="24"/>
              </w:rPr>
            </w:pPr>
            <w:r>
              <w:rPr>
                <w:rFonts w:hint="eastAsia" w:ascii="宋体" w:hAnsi="宋体"/>
                <w:sz w:val="24"/>
              </w:rPr>
              <w:t>松下制冷（大连）有限公司</w:t>
            </w:r>
          </w:p>
        </w:tc>
        <w:tc>
          <w:tcPr>
            <w:tcW w:w="1836" w:type="dxa"/>
            <w:vAlign w:val="center"/>
          </w:tcPr>
          <w:p>
            <w:pPr>
              <w:jc w:val="distribute"/>
              <w:rPr>
                <w:sz w:val="24"/>
                <w:szCs w:val="24"/>
              </w:rPr>
            </w:pPr>
            <w:r>
              <w:rPr>
                <w:rFonts w:hint="eastAsia" w:ascii="宋体" w:hAnsi="宋体"/>
                <w:spacing w:val="30"/>
                <w:sz w:val="24"/>
              </w:rPr>
              <w:t>单位名称</w:t>
            </w:r>
            <w:r>
              <w:rPr>
                <w:rFonts w:hint="eastAsia" w:ascii="宋体" w:hAnsi="宋体"/>
                <w:sz w:val="24"/>
              </w:rPr>
              <w:t>：</w:t>
            </w:r>
          </w:p>
        </w:tc>
        <w:tc>
          <w:tcPr>
            <w:tcW w:w="3300" w:type="dxa"/>
            <w:vAlign w:val="center"/>
          </w:tcPr>
          <w:p>
            <w:pPr>
              <w:rPr>
                <w:sz w:val="24"/>
                <w:szCs w:val="24"/>
              </w:rPr>
            </w:pPr>
            <w:r>
              <w:rPr>
                <w:rFonts w:hint="eastAsia"/>
                <w:sz w:val="24"/>
                <w:szCs w:val="24"/>
              </w:rPr>
              <w:t>北京三汇能环科技发展有限公司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68" w:type="dxa"/>
            <w:vAlign w:val="center"/>
          </w:tcPr>
          <w:p>
            <w:pPr>
              <w:jc w:val="distribute"/>
              <w:rPr>
                <w:sz w:val="24"/>
                <w:szCs w:val="24"/>
              </w:rPr>
            </w:pPr>
            <w:r>
              <w:rPr>
                <w:rFonts w:hint="eastAsia" w:ascii="宋体" w:hAnsi="宋体"/>
                <w:sz w:val="24"/>
              </w:rPr>
              <w:t>地      址：</w:t>
            </w:r>
          </w:p>
        </w:tc>
        <w:tc>
          <w:tcPr>
            <w:tcW w:w="2996" w:type="dxa"/>
            <w:vAlign w:val="center"/>
          </w:tcPr>
          <w:p>
            <w:pPr>
              <w:rPr>
                <w:sz w:val="24"/>
                <w:szCs w:val="24"/>
              </w:rPr>
            </w:pPr>
            <w:r>
              <w:rPr>
                <w:rFonts w:hint="eastAsia" w:ascii="宋体" w:hAnsi="宋体"/>
                <w:spacing w:val="-16"/>
                <w:sz w:val="24"/>
              </w:rPr>
              <w:t>大连经济技术开发区淮河西路117、118号（松岚街10号）</w:t>
            </w:r>
          </w:p>
        </w:tc>
        <w:tc>
          <w:tcPr>
            <w:tcW w:w="1836" w:type="dxa"/>
            <w:vAlign w:val="center"/>
          </w:tcPr>
          <w:p>
            <w:pPr>
              <w:jc w:val="distribute"/>
              <w:rPr>
                <w:sz w:val="24"/>
                <w:szCs w:val="24"/>
              </w:rPr>
            </w:pPr>
            <w:r>
              <w:rPr>
                <w:rFonts w:hint="eastAsia" w:ascii="宋体" w:hAnsi="宋体"/>
                <w:sz w:val="24"/>
              </w:rPr>
              <w:t>地      址：</w:t>
            </w:r>
          </w:p>
        </w:tc>
        <w:tc>
          <w:tcPr>
            <w:tcW w:w="3300" w:type="dxa"/>
            <w:vAlign w:val="center"/>
          </w:tcPr>
          <w:p>
            <w:pPr>
              <w:rPr>
                <w:sz w:val="24"/>
                <w:szCs w:val="24"/>
              </w:rPr>
            </w:pPr>
            <w:r>
              <w:rPr>
                <w:rFonts w:hint="eastAsia"/>
                <w:sz w:val="24"/>
                <w:szCs w:val="24"/>
              </w:rPr>
              <w:t>北京市丰台区南木樨园18号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68" w:type="dxa"/>
            <w:vAlign w:val="center"/>
          </w:tcPr>
          <w:p>
            <w:pPr>
              <w:jc w:val="distribute"/>
              <w:rPr>
                <w:sz w:val="24"/>
                <w:szCs w:val="24"/>
              </w:rPr>
            </w:pPr>
            <w:r>
              <w:rPr>
                <w:rFonts w:hint="eastAsia"/>
                <w:sz w:val="24"/>
                <w:szCs w:val="24"/>
              </w:rPr>
              <w:t>法定代表人：</w:t>
            </w:r>
          </w:p>
        </w:tc>
        <w:tc>
          <w:tcPr>
            <w:tcW w:w="2996" w:type="dxa"/>
            <w:vAlign w:val="center"/>
          </w:tcPr>
          <w:p>
            <w:pPr>
              <w:rPr>
                <w:sz w:val="24"/>
                <w:szCs w:val="24"/>
              </w:rPr>
            </w:pPr>
          </w:p>
        </w:tc>
        <w:tc>
          <w:tcPr>
            <w:tcW w:w="1836" w:type="dxa"/>
            <w:vAlign w:val="center"/>
          </w:tcPr>
          <w:p>
            <w:pPr>
              <w:jc w:val="distribute"/>
              <w:rPr>
                <w:sz w:val="24"/>
                <w:szCs w:val="24"/>
              </w:rPr>
            </w:pPr>
            <w:r>
              <w:rPr>
                <w:rFonts w:hint="eastAsia"/>
                <w:sz w:val="24"/>
                <w:szCs w:val="24"/>
              </w:rPr>
              <w:t>法定代表人：</w:t>
            </w:r>
          </w:p>
        </w:tc>
        <w:tc>
          <w:tcPr>
            <w:tcW w:w="3300" w:type="dxa"/>
            <w:vAlign w:val="center"/>
          </w:tcPr>
          <w:p>
            <w:pPr>
              <w:rPr>
                <w:sz w:val="24"/>
                <w:szCs w:val="24"/>
              </w:rPr>
            </w:pPr>
            <w:r>
              <w:rPr>
                <w:rFonts w:hint="eastAsia"/>
                <w:sz w:val="24"/>
                <w:szCs w:val="24"/>
              </w:rPr>
              <w:t>刘柯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68" w:type="dxa"/>
            <w:vAlign w:val="center"/>
          </w:tcPr>
          <w:p>
            <w:pPr>
              <w:jc w:val="distribute"/>
              <w:rPr>
                <w:sz w:val="24"/>
                <w:szCs w:val="24"/>
              </w:rPr>
            </w:pPr>
            <w:r>
              <w:rPr>
                <w:rFonts w:hint="eastAsia" w:ascii="宋体" w:hAnsi="宋体"/>
                <w:sz w:val="24"/>
              </w:rPr>
              <w:t>委托代理人：</w:t>
            </w:r>
          </w:p>
        </w:tc>
        <w:tc>
          <w:tcPr>
            <w:tcW w:w="2996" w:type="dxa"/>
            <w:vAlign w:val="center"/>
          </w:tcPr>
          <w:p>
            <w:pPr>
              <w:rPr>
                <w:sz w:val="24"/>
                <w:szCs w:val="24"/>
              </w:rPr>
            </w:pPr>
          </w:p>
        </w:tc>
        <w:tc>
          <w:tcPr>
            <w:tcW w:w="1836" w:type="dxa"/>
            <w:vAlign w:val="center"/>
          </w:tcPr>
          <w:p>
            <w:pPr>
              <w:jc w:val="distribute"/>
              <w:rPr>
                <w:sz w:val="24"/>
                <w:szCs w:val="24"/>
              </w:rPr>
            </w:pPr>
            <w:r>
              <w:rPr>
                <w:rFonts w:hint="eastAsia" w:ascii="宋体" w:hAnsi="宋体"/>
                <w:sz w:val="24"/>
              </w:rPr>
              <w:t>委托代理人：</w:t>
            </w:r>
          </w:p>
        </w:tc>
        <w:tc>
          <w:tcPr>
            <w:tcW w:w="3300" w:type="dxa"/>
            <w:vAlign w:val="center"/>
          </w:tcPr>
          <w:p>
            <w:pPr>
              <w:rPr>
                <w:sz w:val="24"/>
                <w:szCs w:val="24"/>
              </w:rPr>
            </w:pPr>
            <w:r>
              <w:rPr>
                <w:rFonts w:hint="eastAsia"/>
                <w:sz w:val="24"/>
                <w:szCs w:val="24"/>
              </w:rPr>
              <w:t>徐利斌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68" w:type="dxa"/>
            <w:vAlign w:val="center"/>
          </w:tcPr>
          <w:p>
            <w:pPr>
              <w:jc w:val="distribute"/>
              <w:rPr>
                <w:sz w:val="24"/>
                <w:szCs w:val="24"/>
              </w:rPr>
            </w:pPr>
            <w:r>
              <w:rPr>
                <w:rFonts w:hint="eastAsia" w:ascii="宋体" w:hAnsi="宋体"/>
                <w:sz w:val="24"/>
              </w:rPr>
              <w:t>电      话：</w:t>
            </w:r>
          </w:p>
        </w:tc>
        <w:tc>
          <w:tcPr>
            <w:tcW w:w="2996" w:type="dxa"/>
            <w:vAlign w:val="center"/>
          </w:tcPr>
          <w:p>
            <w:pPr>
              <w:rPr>
                <w:sz w:val="24"/>
                <w:szCs w:val="24"/>
              </w:rPr>
            </w:pPr>
            <w:r>
              <w:rPr>
                <w:rFonts w:hint="eastAsia" w:ascii="宋体" w:hAnsi="宋体"/>
                <w:sz w:val="24"/>
              </w:rPr>
              <w:t>0411-87316275</w:t>
            </w:r>
          </w:p>
        </w:tc>
        <w:tc>
          <w:tcPr>
            <w:tcW w:w="1836" w:type="dxa"/>
            <w:vAlign w:val="center"/>
          </w:tcPr>
          <w:p>
            <w:pPr>
              <w:jc w:val="distribute"/>
              <w:rPr>
                <w:sz w:val="24"/>
                <w:szCs w:val="24"/>
              </w:rPr>
            </w:pPr>
            <w:r>
              <w:rPr>
                <w:rFonts w:hint="eastAsia" w:ascii="宋体" w:hAnsi="宋体"/>
                <w:sz w:val="24"/>
              </w:rPr>
              <w:t>电      话：</w:t>
            </w:r>
          </w:p>
        </w:tc>
        <w:tc>
          <w:tcPr>
            <w:tcW w:w="3300" w:type="dxa"/>
            <w:vAlign w:val="center"/>
          </w:tcPr>
          <w:p>
            <w:pPr>
              <w:rPr>
                <w:sz w:val="24"/>
                <w:szCs w:val="24"/>
              </w:rPr>
            </w:pPr>
            <w:r>
              <w:rPr>
                <w:rFonts w:hint="eastAsia"/>
                <w:sz w:val="24"/>
                <w:szCs w:val="24"/>
              </w:rPr>
              <w:t>18911280030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68" w:type="dxa"/>
            <w:vAlign w:val="center"/>
          </w:tcPr>
          <w:p>
            <w:pPr>
              <w:jc w:val="distribute"/>
              <w:rPr>
                <w:sz w:val="24"/>
                <w:szCs w:val="24"/>
              </w:rPr>
            </w:pPr>
            <w:r>
              <w:rPr>
                <w:rFonts w:hint="eastAsia" w:ascii="宋体" w:hAnsi="宋体"/>
                <w:sz w:val="24"/>
              </w:rPr>
              <w:t>传      真：</w:t>
            </w:r>
          </w:p>
        </w:tc>
        <w:tc>
          <w:tcPr>
            <w:tcW w:w="2996" w:type="dxa"/>
            <w:vAlign w:val="center"/>
          </w:tcPr>
          <w:p>
            <w:pPr>
              <w:rPr>
                <w:sz w:val="24"/>
                <w:szCs w:val="24"/>
              </w:rPr>
            </w:pPr>
            <w:r>
              <w:rPr>
                <w:rFonts w:hint="eastAsia" w:ascii="宋体" w:hAnsi="宋体"/>
                <w:sz w:val="24"/>
              </w:rPr>
              <w:t>0411-87316276-101</w:t>
            </w:r>
          </w:p>
        </w:tc>
        <w:tc>
          <w:tcPr>
            <w:tcW w:w="1836" w:type="dxa"/>
            <w:vAlign w:val="center"/>
          </w:tcPr>
          <w:p>
            <w:pPr>
              <w:jc w:val="distribute"/>
              <w:rPr>
                <w:sz w:val="24"/>
                <w:szCs w:val="24"/>
              </w:rPr>
            </w:pPr>
            <w:r>
              <w:rPr>
                <w:rFonts w:hint="eastAsia" w:ascii="宋体" w:hAnsi="宋体"/>
                <w:sz w:val="24"/>
              </w:rPr>
              <w:t>微      信：</w:t>
            </w:r>
          </w:p>
        </w:tc>
        <w:tc>
          <w:tcPr>
            <w:tcW w:w="3300" w:type="dxa"/>
            <w:vAlign w:val="center"/>
          </w:tcPr>
          <w:p>
            <w:pPr>
              <w:rPr>
                <w:sz w:val="24"/>
                <w:szCs w:val="24"/>
              </w:rPr>
            </w:pPr>
            <w:r>
              <w:rPr>
                <w:rFonts w:hint="eastAsia"/>
                <w:sz w:val="24"/>
                <w:szCs w:val="24"/>
              </w:rPr>
              <w:t>18911280030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68" w:type="dxa"/>
            <w:vAlign w:val="center"/>
          </w:tcPr>
          <w:p>
            <w:pPr>
              <w:jc w:val="distribute"/>
              <w:rPr>
                <w:sz w:val="24"/>
                <w:szCs w:val="24"/>
              </w:rPr>
            </w:pPr>
            <w:r>
              <w:rPr>
                <w:rFonts w:hint="eastAsia"/>
                <w:sz w:val="24"/>
                <w:szCs w:val="24"/>
              </w:rPr>
              <w:t>邮政编码：</w:t>
            </w:r>
          </w:p>
        </w:tc>
        <w:tc>
          <w:tcPr>
            <w:tcW w:w="2996" w:type="dxa"/>
            <w:vAlign w:val="center"/>
          </w:tcPr>
          <w:p>
            <w:pPr>
              <w:rPr>
                <w:sz w:val="24"/>
                <w:szCs w:val="24"/>
              </w:rPr>
            </w:pPr>
            <w:r>
              <w:rPr>
                <w:rFonts w:hint="eastAsia" w:ascii="宋体" w:hAnsi="宋体"/>
                <w:sz w:val="24"/>
              </w:rPr>
              <w:t>116600</w:t>
            </w:r>
          </w:p>
        </w:tc>
        <w:tc>
          <w:tcPr>
            <w:tcW w:w="1836" w:type="dxa"/>
            <w:vAlign w:val="center"/>
          </w:tcPr>
          <w:p>
            <w:pPr>
              <w:jc w:val="distribute"/>
              <w:rPr>
                <w:sz w:val="24"/>
                <w:szCs w:val="24"/>
              </w:rPr>
            </w:pPr>
            <w:r>
              <w:rPr>
                <w:rFonts w:hint="eastAsia"/>
                <w:sz w:val="24"/>
                <w:szCs w:val="24"/>
              </w:rPr>
              <w:t>邮政编码：</w:t>
            </w:r>
          </w:p>
        </w:tc>
        <w:tc>
          <w:tcPr>
            <w:tcW w:w="3300" w:type="dxa"/>
            <w:vAlign w:val="center"/>
          </w:tcPr>
          <w:p>
            <w:pPr>
              <w:rPr>
                <w:sz w:val="24"/>
                <w:szCs w:val="24"/>
              </w:rPr>
            </w:pPr>
            <w:r>
              <w:rPr>
                <w:rFonts w:hint="eastAsia"/>
                <w:sz w:val="24"/>
                <w:szCs w:val="24"/>
              </w:rPr>
              <w:t>100071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68" w:type="dxa"/>
            <w:vAlign w:val="center"/>
          </w:tcPr>
          <w:p>
            <w:pPr>
              <w:jc w:val="distribute"/>
              <w:rPr>
                <w:sz w:val="24"/>
                <w:szCs w:val="24"/>
              </w:rPr>
            </w:pPr>
            <w:r>
              <w:rPr>
                <w:rFonts w:hint="eastAsia" w:ascii="宋体" w:hAnsi="宋体"/>
                <w:sz w:val="24"/>
              </w:rPr>
              <w:t>开  户  行：</w:t>
            </w:r>
          </w:p>
        </w:tc>
        <w:tc>
          <w:tcPr>
            <w:tcW w:w="2996" w:type="dxa"/>
            <w:vAlign w:val="center"/>
          </w:tcPr>
          <w:p>
            <w:pPr>
              <w:rPr>
                <w:sz w:val="24"/>
                <w:szCs w:val="24"/>
              </w:rPr>
            </w:pPr>
            <w:r>
              <w:rPr>
                <w:rFonts w:hint="eastAsia" w:ascii="宋体" w:hAnsi="宋体"/>
                <w:sz w:val="24"/>
              </w:rPr>
              <w:t>中国建设银行股份有限公司大连金普新区分行</w:t>
            </w:r>
          </w:p>
        </w:tc>
        <w:tc>
          <w:tcPr>
            <w:tcW w:w="1836" w:type="dxa"/>
            <w:vAlign w:val="center"/>
          </w:tcPr>
          <w:p>
            <w:pPr>
              <w:jc w:val="distribute"/>
              <w:rPr>
                <w:sz w:val="24"/>
                <w:szCs w:val="24"/>
              </w:rPr>
            </w:pPr>
            <w:r>
              <w:rPr>
                <w:rFonts w:hint="eastAsia" w:ascii="宋体" w:hAnsi="宋体"/>
                <w:sz w:val="24"/>
              </w:rPr>
              <w:t>开  户  行：</w:t>
            </w:r>
          </w:p>
        </w:tc>
        <w:tc>
          <w:tcPr>
            <w:tcW w:w="3300" w:type="dxa"/>
            <w:vAlign w:val="center"/>
          </w:tcPr>
          <w:p>
            <w:pPr>
              <w:rPr>
                <w:sz w:val="24"/>
                <w:szCs w:val="24"/>
              </w:rPr>
            </w:pPr>
            <w:r>
              <w:rPr>
                <w:rFonts w:hint="eastAsia"/>
                <w:sz w:val="24"/>
                <w:szCs w:val="24"/>
              </w:rPr>
              <w:t>北京农商银行丰台支行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68" w:type="dxa"/>
            <w:vAlign w:val="center"/>
          </w:tcPr>
          <w:p>
            <w:pPr>
              <w:jc w:val="distribute"/>
              <w:rPr>
                <w:sz w:val="24"/>
                <w:szCs w:val="24"/>
              </w:rPr>
            </w:pPr>
            <w:r>
              <w:rPr>
                <w:rFonts w:hint="eastAsia" w:ascii="宋体" w:hAnsi="宋体"/>
                <w:sz w:val="24"/>
              </w:rPr>
              <w:t>帐      号：</w:t>
            </w:r>
          </w:p>
        </w:tc>
        <w:tc>
          <w:tcPr>
            <w:tcW w:w="2996" w:type="dxa"/>
            <w:vAlign w:val="center"/>
          </w:tcPr>
          <w:p>
            <w:pPr>
              <w:rPr>
                <w:sz w:val="24"/>
                <w:szCs w:val="24"/>
              </w:rPr>
            </w:pPr>
            <w:r>
              <w:rPr>
                <w:rFonts w:hint="eastAsia" w:ascii="宋体" w:hAnsi="宋体"/>
                <w:sz w:val="24"/>
              </w:rPr>
              <w:t>21201500900059666888</w:t>
            </w:r>
          </w:p>
        </w:tc>
        <w:tc>
          <w:tcPr>
            <w:tcW w:w="1836" w:type="dxa"/>
            <w:vAlign w:val="center"/>
          </w:tcPr>
          <w:p>
            <w:pPr>
              <w:jc w:val="distribute"/>
              <w:rPr>
                <w:sz w:val="24"/>
                <w:szCs w:val="24"/>
              </w:rPr>
            </w:pPr>
            <w:r>
              <w:rPr>
                <w:rFonts w:hint="eastAsia" w:ascii="宋体" w:hAnsi="宋体"/>
                <w:sz w:val="24"/>
              </w:rPr>
              <w:t>帐      号：</w:t>
            </w:r>
          </w:p>
        </w:tc>
        <w:tc>
          <w:tcPr>
            <w:tcW w:w="3300" w:type="dxa"/>
            <w:vAlign w:val="center"/>
          </w:tcPr>
          <w:p>
            <w:pPr>
              <w:rPr>
                <w:sz w:val="24"/>
                <w:szCs w:val="24"/>
              </w:rPr>
            </w:pPr>
            <w:r>
              <w:rPr>
                <w:rFonts w:hint="eastAsia"/>
                <w:sz w:val="24"/>
                <w:szCs w:val="24"/>
              </w:rPr>
              <w:t>0201 0001 0300 0023 429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68" w:type="dxa"/>
            <w:vAlign w:val="center"/>
          </w:tcPr>
          <w:p>
            <w:pPr>
              <w:rPr>
                <w:rFonts w:ascii="宋体" w:hAnsi="宋体"/>
                <w:sz w:val="24"/>
              </w:rPr>
            </w:pPr>
            <w:r>
              <w:rPr>
                <w:rFonts w:hint="eastAsia" w:ascii="宋体" w:hAnsi="宋体"/>
                <w:sz w:val="24"/>
              </w:rPr>
              <w:t>税      号：</w:t>
            </w:r>
          </w:p>
        </w:tc>
        <w:tc>
          <w:tcPr>
            <w:tcW w:w="2996" w:type="dxa"/>
            <w:vAlign w:val="center"/>
          </w:tcPr>
          <w:p>
            <w:pPr>
              <w:rPr>
                <w:rFonts w:ascii="宋体" w:hAnsi="宋体"/>
                <w:sz w:val="24"/>
              </w:rPr>
            </w:pPr>
            <w:r>
              <w:rPr>
                <w:rFonts w:hint="eastAsia" w:ascii="宋体" w:hAnsi="宋体"/>
                <w:sz w:val="24"/>
              </w:rPr>
              <w:t>912102136048024506</w:t>
            </w:r>
          </w:p>
        </w:tc>
        <w:tc>
          <w:tcPr>
            <w:tcW w:w="1836" w:type="dxa"/>
            <w:vAlign w:val="center"/>
          </w:tcPr>
          <w:p>
            <w:pPr>
              <w:rPr>
                <w:rFonts w:ascii="宋体" w:hAnsi="宋体"/>
                <w:sz w:val="24"/>
              </w:rPr>
            </w:pPr>
            <w:r>
              <w:rPr>
                <w:rFonts w:hint="eastAsia" w:ascii="宋体" w:hAnsi="宋体"/>
                <w:sz w:val="24"/>
              </w:rPr>
              <w:t>税       号：</w:t>
            </w:r>
          </w:p>
        </w:tc>
        <w:tc>
          <w:tcPr>
            <w:tcW w:w="3300" w:type="dxa"/>
            <w:vAlign w:val="center"/>
          </w:tcPr>
          <w:p>
            <w:pPr>
              <w:rPr>
                <w:sz w:val="24"/>
                <w:szCs w:val="24"/>
              </w:rPr>
            </w:pPr>
            <w:r>
              <w:rPr>
                <w:rFonts w:hint="eastAsia"/>
                <w:sz w:val="24"/>
                <w:szCs w:val="24"/>
              </w:rPr>
              <w:t>91110106666295220C</w:t>
            </w:r>
          </w:p>
        </w:tc>
      </w:tr>
    </w:tbl>
    <w:p>
      <w:pPr>
        <w:spacing w:line="480" w:lineRule="auto"/>
        <w:rPr>
          <w:rFonts w:ascii="宋体" w:hAnsi="宋体" w:cs="宋体"/>
          <w:color w:val="000000"/>
          <w:szCs w:val="21"/>
        </w:rPr>
      </w:pPr>
    </w:p>
    <w:p>
      <w:pPr>
        <w:tabs>
          <w:tab w:val="center" w:pos="4153"/>
        </w:tabs>
        <w:spacing w:line="480" w:lineRule="auto"/>
        <w:rPr>
          <w:rFonts w:ascii="宋体" w:hAnsi="宋体" w:cs="宋体"/>
          <w:color w:val="auto"/>
          <w:szCs w:val="21"/>
          <w:highlight w:val="none"/>
        </w:rPr>
      </w:pPr>
      <w:r>
        <w:rPr>
          <w:rFonts w:hint="eastAsia" w:ascii="宋体" w:hAnsi="宋体" w:cs="宋体"/>
          <w:b/>
          <w:bCs/>
          <w:color w:val="auto"/>
          <w:sz w:val="30"/>
          <w:szCs w:val="30"/>
          <w:highlight w:val="none"/>
        </w:rPr>
        <w:t>附件：工程量及价格（根据</w:t>
      </w:r>
      <w:r>
        <w:rPr>
          <w:rFonts w:ascii="宋体" w:hAnsi="宋体" w:cs="宋体"/>
          <w:b/>
          <w:bCs/>
          <w:color w:val="auto"/>
          <w:sz w:val="30"/>
          <w:szCs w:val="30"/>
          <w:highlight w:val="none"/>
        </w:rPr>
        <w:t>本次项目）</w:t>
      </w:r>
      <w:r>
        <w:rPr>
          <w:rFonts w:hint="eastAsia" w:ascii="宋体" w:hAnsi="宋体" w:cs="宋体"/>
          <w:color w:val="auto"/>
          <w:szCs w:val="21"/>
          <w:highlight w:val="none"/>
        </w:rPr>
        <w:tab/>
      </w:r>
    </w:p>
    <w:tbl>
      <w:tblPr>
        <w:tblStyle w:val="26"/>
        <w:tblW w:w="9555" w:type="dxa"/>
        <w:jc w:val="center"/>
        <w:tblLayout w:type="autofit"/>
        <w:tblCellMar>
          <w:top w:w="0" w:type="dxa"/>
          <w:left w:w="108" w:type="dxa"/>
          <w:bottom w:w="0" w:type="dxa"/>
          <w:right w:w="108" w:type="dxa"/>
        </w:tblCellMar>
      </w:tblPr>
      <w:tblGrid>
        <w:gridCol w:w="690"/>
        <w:gridCol w:w="2430"/>
        <w:gridCol w:w="1320"/>
        <w:gridCol w:w="1350"/>
        <w:gridCol w:w="780"/>
        <w:gridCol w:w="795"/>
        <w:gridCol w:w="1080"/>
        <w:gridCol w:w="1110"/>
      </w:tblGrid>
      <w:tr>
        <w:tblPrEx>
          <w:tblCellMar>
            <w:top w:w="0" w:type="dxa"/>
            <w:left w:w="108" w:type="dxa"/>
            <w:bottom w:w="0" w:type="dxa"/>
            <w:right w:w="108" w:type="dxa"/>
          </w:tblCellMar>
        </w:tblPrEx>
        <w:trPr>
          <w:trHeight w:val="600" w:hRule="atLeast"/>
          <w:jc w:val="center"/>
        </w:trPr>
        <w:tc>
          <w:tcPr>
            <w:tcW w:w="9555" w:type="dxa"/>
            <w:gridSpan w:val="8"/>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lang w:bidi="ar"/>
              </w:rPr>
              <w:t>配套材料报价表</w:t>
            </w:r>
          </w:p>
        </w:tc>
      </w:tr>
      <w:tr>
        <w:tblPrEx>
          <w:tblCellMar>
            <w:top w:w="0" w:type="dxa"/>
            <w:left w:w="108" w:type="dxa"/>
            <w:bottom w:w="0" w:type="dxa"/>
            <w:right w:w="108" w:type="dxa"/>
          </w:tblCellMar>
        </w:tblPrEx>
        <w:trPr>
          <w:trHeight w:val="7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序号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物</w:t>
            </w:r>
            <w:bookmarkStart w:id="34" w:name="_GoBack"/>
            <w:bookmarkEnd w:id="34"/>
            <w:r>
              <w:rPr>
                <w:rFonts w:hint="eastAsia" w:ascii="宋体" w:hAnsi="宋体" w:cs="宋体"/>
                <w:color w:val="000000"/>
                <w:kern w:val="0"/>
                <w:sz w:val="24"/>
                <w:szCs w:val="24"/>
                <w:lang w:bidi="ar"/>
              </w:rPr>
              <w:t>资名称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规格型号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生产商名称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含税单价</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含税合价</w:t>
            </w:r>
          </w:p>
        </w:tc>
      </w:tr>
      <w:tr>
        <w:tblPrEx>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cs="Calibri"/>
                <w:color w:val="000000"/>
                <w:sz w:val="24"/>
                <w:szCs w:val="24"/>
              </w:rPr>
            </w:pPr>
            <w:r>
              <w:rPr>
                <w:rFonts w:ascii="Calibri" w:hAnsi="Calibri" w:cs="Calibri"/>
                <w:color w:val="000000"/>
                <w:kern w:val="0"/>
                <w:sz w:val="24"/>
                <w:szCs w:val="24"/>
                <w:lang w:bidi="ar"/>
              </w:rPr>
              <w:t>1</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热轧无缝钢管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Calibri" w:hAnsi="Calibri" w:cs="Calibri"/>
                <w:color w:val="000000"/>
                <w:sz w:val="24"/>
                <w:szCs w:val="24"/>
              </w:rPr>
            </w:pPr>
            <w:r>
              <w:rPr>
                <w:rFonts w:ascii="Calibri" w:hAnsi="Calibri" w:cs="Calibri"/>
                <w:color w:val="000000"/>
                <w:kern w:val="0"/>
                <w:sz w:val="24"/>
                <w:szCs w:val="24"/>
                <w:lang w:bidi="ar"/>
              </w:rPr>
              <w:t>D159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墨龙</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387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4644</w:t>
            </w:r>
          </w:p>
        </w:tc>
      </w:tr>
      <w:tr>
        <w:tblPrEx>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cs="Calibri"/>
                <w:color w:val="000000"/>
                <w:sz w:val="24"/>
                <w:szCs w:val="24"/>
              </w:rPr>
            </w:pPr>
            <w:r>
              <w:rPr>
                <w:rFonts w:ascii="Calibri" w:hAnsi="Calibri" w:cs="Calibri"/>
                <w:color w:val="000000"/>
                <w:kern w:val="0"/>
                <w:sz w:val="24"/>
                <w:szCs w:val="24"/>
                <w:lang w:bidi="ar"/>
              </w:rPr>
              <w:t>2</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热轧无缝钢管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Calibri" w:hAnsi="Calibri" w:cs="Calibri"/>
                <w:color w:val="000000"/>
                <w:sz w:val="24"/>
                <w:szCs w:val="24"/>
              </w:rPr>
            </w:pPr>
            <w:r>
              <w:rPr>
                <w:rFonts w:ascii="Calibri" w:hAnsi="Calibri" w:cs="Calibri"/>
                <w:color w:val="000000"/>
                <w:kern w:val="0"/>
                <w:sz w:val="24"/>
                <w:szCs w:val="24"/>
                <w:lang w:bidi="ar"/>
              </w:rPr>
              <w:t>D219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墨龙</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692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8304</w:t>
            </w:r>
          </w:p>
        </w:tc>
      </w:tr>
      <w:tr>
        <w:tblPrEx>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cs="Calibri"/>
                <w:color w:val="000000"/>
                <w:sz w:val="24"/>
                <w:szCs w:val="24"/>
              </w:rPr>
            </w:pPr>
            <w:r>
              <w:rPr>
                <w:rFonts w:ascii="Calibri" w:hAnsi="Calibri" w:cs="Calibri"/>
                <w:color w:val="000000"/>
                <w:kern w:val="0"/>
                <w:sz w:val="24"/>
                <w:szCs w:val="24"/>
                <w:lang w:bidi="ar"/>
              </w:rPr>
              <w:t>3</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涡轮对夹碟阀</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Calibri" w:hAnsi="Calibri" w:cs="Calibri"/>
                <w:color w:val="000000"/>
                <w:sz w:val="24"/>
                <w:szCs w:val="24"/>
              </w:rPr>
            </w:pPr>
            <w:r>
              <w:rPr>
                <w:rFonts w:ascii="Calibri" w:hAnsi="Calibri" w:cs="Calibri"/>
                <w:color w:val="000000"/>
                <w:kern w:val="0"/>
                <w:sz w:val="24"/>
                <w:szCs w:val="24"/>
                <w:lang w:bidi="ar"/>
              </w:rPr>
              <w:t>DN200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1588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6352</w:t>
            </w:r>
          </w:p>
        </w:tc>
      </w:tr>
      <w:tr>
        <w:tblPrEx>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cs="Calibri"/>
                <w:color w:val="000000"/>
                <w:sz w:val="24"/>
                <w:szCs w:val="24"/>
              </w:rPr>
            </w:pPr>
            <w:r>
              <w:rPr>
                <w:rFonts w:ascii="Calibri" w:hAnsi="Calibri" w:cs="Calibri"/>
                <w:color w:val="000000"/>
                <w:kern w:val="0"/>
                <w:sz w:val="24"/>
                <w:szCs w:val="24"/>
                <w:lang w:bidi="ar"/>
              </w:rPr>
              <w:t>4</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涡轮对夹碟阀</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Calibri" w:hAnsi="Calibri" w:cs="Calibri"/>
                <w:color w:val="000000"/>
                <w:sz w:val="24"/>
                <w:szCs w:val="24"/>
              </w:rPr>
            </w:pPr>
            <w:r>
              <w:rPr>
                <w:rFonts w:ascii="Calibri" w:hAnsi="Calibri" w:cs="Calibri"/>
                <w:color w:val="000000"/>
                <w:kern w:val="0"/>
                <w:sz w:val="24"/>
                <w:szCs w:val="24"/>
                <w:lang w:bidi="ar"/>
              </w:rPr>
              <w:t>DN150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946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3784</w:t>
            </w:r>
          </w:p>
        </w:tc>
      </w:tr>
      <w:tr>
        <w:tblPrEx>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cs="Calibri"/>
                <w:color w:val="000000"/>
                <w:sz w:val="24"/>
                <w:szCs w:val="24"/>
              </w:rPr>
            </w:pPr>
            <w:r>
              <w:rPr>
                <w:rFonts w:ascii="Calibri" w:hAnsi="Calibri" w:cs="Calibri"/>
                <w:color w:val="000000"/>
                <w:kern w:val="0"/>
                <w:sz w:val="24"/>
                <w:szCs w:val="24"/>
                <w:lang w:bidi="ar"/>
              </w:rPr>
              <w:t>5</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电动蝶阀</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Calibri" w:hAnsi="Calibri" w:cs="Calibri"/>
                <w:color w:val="000000"/>
                <w:sz w:val="24"/>
                <w:szCs w:val="24"/>
              </w:rPr>
            </w:pPr>
            <w:r>
              <w:rPr>
                <w:rFonts w:ascii="Calibri" w:hAnsi="Calibri" w:cs="Calibri"/>
                <w:color w:val="000000"/>
                <w:kern w:val="0"/>
                <w:sz w:val="24"/>
                <w:szCs w:val="24"/>
                <w:lang w:bidi="ar"/>
              </w:rPr>
              <w:t>DN200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6735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13470</w:t>
            </w:r>
          </w:p>
        </w:tc>
      </w:tr>
      <w:tr>
        <w:tblPrEx>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cs="Calibri"/>
                <w:color w:val="000000"/>
                <w:sz w:val="24"/>
                <w:szCs w:val="24"/>
              </w:rPr>
            </w:pPr>
            <w:r>
              <w:rPr>
                <w:rFonts w:ascii="Calibri" w:hAnsi="Calibri" w:cs="Calibri"/>
                <w:color w:val="000000"/>
                <w:kern w:val="0"/>
                <w:sz w:val="24"/>
                <w:szCs w:val="24"/>
                <w:lang w:bidi="ar"/>
              </w:rPr>
              <w:t>6</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电动蝶阀</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Calibri" w:hAnsi="Calibri" w:cs="Calibri"/>
                <w:color w:val="000000"/>
                <w:sz w:val="24"/>
                <w:szCs w:val="24"/>
              </w:rPr>
            </w:pPr>
            <w:r>
              <w:rPr>
                <w:rFonts w:ascii="Calibri" w:hAnsi="Calibri" w:cs="Calibri"/>
                <w:color w:val="000000"/>
                <w:kern w:val="0"/>
                <w:sz w:val="24"/>
                <w:szCs w:val="24"/>
                <w:lang w:bidi="ar"/>
              </w:rPr>
              <w:t>DN150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6443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12886</w:t>
            </w:r>
          </w:p>
        </w:tc>
      </w:tr>
      <w:tr>
        <w:tblPrEx>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cs="Calibri"/>
                <w:color w:val="000000"/>
                <w:sz w:val="24"/>
                <w:szCs w:val="24"/>
              </w:rPr>
            </w:pPr>
            <w:r>
              <w:rPr>
                <w:rFonts w:ascii="Calibri" w:hAnsi="Calibri" w:cs="Calibri"/>
                <w:color w:val="000000"/>
                <w:kern w:val="0"/>
                <w:sz w:val="24"/>
                <w:szCs w:val="24"/>
                <w:lang w:bidi="ar"/>
              </w:rPr>
              <w:t>7</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Y型过滤器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Calibri" w:hAnsi="Calibri" w:cs="Calibri"/>
                <w:color w:val="000000"/>
                <w:sz w:val="24"/>
                <w:szCs w:val="24"/>
              </w:rPr>
            </w:pPr>
            <w:r>
              <w:rPr>
                <w:rFonts w:ascii="Calibri" w:hAnsi="Calibri" w:cs="Calibri"/>
                <w:color w:val="000000"/>
                <w:kern w:val="0"/>
                <w:sz w:val="24"/>
                <w:szCs w:val="24"/>
                <w:lang w:bidi="ar"/>
              </w:rPr>
              <w:t>DN200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3846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7692</w:t>
            </w:r>
          </w:p>
        </w:tc>
      </w:tr>
      <w:tr>
        <w:tblPrEx>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cs="Calibri"/>
                <w:color w:val="000000"/>
                <w:sz w:val="24"/>
                <w:szCs w:val="24"/>
              </w:rPr>
            </w:pPr>
            <w:r>
              <w:rPr>
                <w:rFonts w:ascii="Calibri" w:hAnsi="Calibri" w:cs="Calibri"/>
                <w:color w:val="000000"/>
                <w:kern w:val="0"/>
                <w:sz w:val="24"/>
                <w:szCs w:val="24"/>
                <w:lang w:bidi="ar"/>
              </w:rPr>
              <w:t>8</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Y型过滤器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Calibri" w:hAnsi="Calibri" w:cs="Calibri"/>
                <w:color w:val="000000"/>
                <w:sz w:val="24"/>
                <w:szCs w:val="24"/>
              </w:rPr>
            </w:pPr>
            <w:r>
              <w:rPr>
                <w:rFonts w:ascii="Calibri" w:hAnsi="Calibri" w:cs="Calibri"/>
                <w:color w:val="000000"/>
                <w:kern w:val="0"/>
                <w:sz w:val="24"/>
                <w:szCs w:val="24"/>
                <w:lang w:bidi="ar"/>
              </w:rPr>
              <w:t>DN150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2957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5914</w:t>
            </w:r>
          </w:p>
        </w:tc>
      </w:tr>
      <w:tr>
        <w:tblPrEx>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cs="Calibri"/>
                <w:color w:val="000000"/>
                <w:sz w:val="24"/>
                <w:szCs w:val="24"/>
              </w:rPr>
            </w:pPr>
            <w:r>
              <w:rPr>
                <w:rFonts w:ascii="Calibri" w:hAnsi="Calibri" w:cs="Calibri"/>
                <w:color w:val="000000"/>
                <w:kern w:val="0"/>
                <w:sz w:val="24"/>
                <w:szCs w:val="24"/>
                <w:lang w:bidi="ar"/>
              </w:rPr>
              <w:t>9</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橡胶软接头</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Calibri" w:hAnsi="Calibri" w:cs="Calibri"/>
                <w:color w:val="000000"/>
                <w:sz w:val="24"/>
                <w:szCs w:val="24"/>
              </w:rPr>
            </w:pPr>
            <w:r>
              <w:rPr>
                <w:rFonts w:ascii="Calibri" w:hAnsi="Calibri" w:cs="Calibri"/>
                <w:color w:val="000000"/>
                <w:kern w:val="0"/>
                <w:sz w:val="24"/>
                <w:szCs w:val="24"/>
                <w:lang w:bidi="ar"/>
              </w:rPr>
              <w:t>DN200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松江永峰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486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1944</w:t>
            </w:r>
          </w:p>
        </w:tc>
      </w:tr>
      <w:tr>
        <w:tblPrEx>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cs="Calibri"/>
                <w:color w:val="000000"/>
                <w:sz w:val="24"/>
                <w:szCs w:val="24"/>
              </w:rPr>
            </w:pPr>
            <w:r>
              <w:rPr>
                <w:rFonts w:ascii="Calibri" w:hAnsi="Calibri" w:cs="Calibri"/>
                <w:color w:val="000000"/>
                <w:kern w:val="0"/>
                <w:sz w:val="24"/>
                <w:szCs w:val="24"/>
                <w:lang w:bidi="ar"/>
              </w:rPr>
              <w:t>10</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橡胶软接头</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Calibri" w:hAnsi="Calibri" w:cs="Calibri"/>
                <w:color w:val="000000"/>
                <w:sz w:val="24"/>
                <w:szCs w:val="24"/>
              </w:rPr>
            </w:pPr>
            <w:r>
              <w:rPr>
                <w:rFonts w:ascii="Calibri" w:hAnsi="Calibri" w:cs="Calibri"/>
                <w:color w:val="000000"/>
                <w:kern w:val="0"/>
                <w:sz w:val="24"/>
                <w:szCs w:val="24"/>
                <w:lang w:bidi="ar"/>
              </w:rPr>
              <w:t>DN150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松江永峰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375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1500</w:t>
            </w:r>
          </w:p>
        </w:tc>
      </w:tr>
      <w:tr>
        <w:tblPrEx>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cs="Calibri"/>
                <w:color w:val="000000"/>
                <w:sz w:val="24"/>
                <w:szCs w:val="24"/>
              </w:rPr>
            </w:pPr>
            <w:r>
              <w:rPr>
                <w:rFonts w:ascii="Calibri" w:hAnsi="Calibri" w:cs="Calibri"/>
                <w:color w:val="000000"/>
                <w:kern w:val="0"/>
                <w:sz w:val="24"/>
                <w:szCs w:val="24"/>
                <w:lang w:bidi="ar"/>
              </w:rPr>
              <w:t>11</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焊接法兰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Calibri" w:hAnsi="Calibri" w:cs="Calibri"/>
                <w:color w:val="000000"/>
                <w:sz w:val="24"/>
                <w:szCs w:val="24"/>
              </w:rPr>
            </w:pPr>
            <w:r>
              <w:rPr>
                <w:rFonts w:ascii="Calibri" w:hAnsi="Calibri" w:cs="Calibri"/>
                <w:color w:val="000000"/>
                <w:kern w:val="0"/>
                <w:sz w:val="24"/>
                <w:szCs w:val="24"/>
                <w:lang w:bidi="ar"/>
              </w:rPr>
              <w:t>DN200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龙盛</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299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7176</w:t>
            </w:r>
          </w:p>
        </w:tc>
      </w:tr>
      <w:tr>
        <w:tblPrEx>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cs="Calibri"/>
                <w:color w:val="000000"/>
                <w:sz w:val="24"/>
                <w:szCs w:val="24"/>
              </w:rPr>
            </w:pPr>
            <w:r>
              <w:rPr>
                <w:rFonts w:ascii="Calibri" w:hAnsi="Calibri" w:cs="Calibri"/>
                <w:color w:val="000000"/>
                <w:kern w:val="0"/>
                <w:sz w:val="24"/>
                <w:szCs w:val="24"/>
                <w:lang w:bidi="ar"/>
              </w:rPr>
              <w:t>12</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焊接法兰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Calibri" w:hAnsi="Calibri" w:cs="Calibri"/>
                <w:color w:val="000000"/>
                <w:sz w:val="24"/>
                <w:szCs w:val="24"/>
              </w:rPr>
            </w:pPr>
            <w:r>
              <w:rPr>
                <w:rFonts w:ascii="Calibri" w:hAnsi="Calibri" w:cs="Calibri"/>
                <w:color w:val="000000"/>
                <w:kern w:val="0"/>
                <w:sz w:val="24"/>
                <w:szCs w:val="24"/>
                <w:lang w:bidi="ar"/>
              </w:rPr>
              <w:t>DN150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龙盛</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248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5952</w:t>
            </w:r>
          </w:p>
        </w:tc>
      </w:tr>
      <w:tr>
        <w:tblPrEx>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cs="Calibri"/>
                <w:color w:val="000000"/>
                <w:sz w:val="24"/>
                <w:szCs w:val="24"/>
              </w:rPr>
            </w:pPr>
            <w:r>
              <w:rPr>
                <w:rFonts w:ascii="Calibri" w:hAnsi="Calibri" w:cs="Calibri"/>
                <w:color w:val="000000"/>
                <w:kern w:val="0"/>
                <w:sz w:val="24"/>
                <w:szCs w:val="24"/>
                <w:lang w:bidi="ar"/>
              </w:rPr>
              <w:t>13</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压力表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Calibri" w:hAnsi="Calibri" w:cs="Calibri"/>
                <w:color w:val="000000"/>
                <w:sz w:val="24"/>
                <w:szCs w:val="24"/>
              </w:rPr>
            </w:pPr>
            <w:r>
              <w:rPr>
                <w:rFonts w:ascii="Calibri" w:hAnsi="Calibri" w:cs="Calibri"/>
                <w:color w:val="000000"/>
                <w:kern w:val="0"/>
                <w:sz w:val="24"/>
                <w:szCs w:val="24"/>
                <w:lang w:bidi="ar"/>
              </w:rPr>
              <w:t>0~1.6Mpa</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天川</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327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2616</w:t>
            </w:r>
          </w:p>
        </w:tc>
      </w:tr>
      <w:tr>
        <w:tblPrEx>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cs="Calibri"/>
                <w:color w:val="000000"/>
                <w:sz w:val="24"/>
                <w:szCs w:val="24"/>
              </w:rPr>
            </w:pPr>
            <w:r>
              <w:rPr>
                <w:rFonts w:ascii="Calibri" w:hAnsi="Calibri" w:cs="Calibri"/>
                <w:color w:val="000000"/>
                <w:kern w:val="0"/>
                <w:sz w:val="24"/>
                <w:szCs w:val="24"/>
                <w:lang w:bidi="ar"/>
              </w:rPr>
              <w:t>14</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温度表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Calibri" w:hAnsi="Calibri" w:cs="Calibri"/>
                <w:color w:val="000000"/>
                <w:sz w:val="24"/>
                <w:szCs w:val="24"/>
              </w:rPr>
            </w:pPr>
            <w:r>
              <w:rPr>
                <w:rStyle w:val="36"/>
                <w:lang w:bidi="ar"/>
              </w:rPr>
              <w:t>0~100</w:t>
            </w:r>
            <w:r>
              <w:rPr>
                <w:rStyle w:val="37"/>
                <w:rFonts w:hint="default"/>
                <w:lang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旭日科诺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269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2152</w:t>
            </w:r>
          </w:p>
        </w:tc>
      </w:tr>
      <w:tr>
        <w:tblPrEx>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cs="Calibri"/>
                <w:color w:val="000000"/>
                <w:sz w:val="24"/>
                <w:szCs w:val="24"/>
              </w:rPr>
            </w:pPr>
            <w:r>
              <w:rPr>
                <w:rFonts w:ascii="Calibri" w:hAnsi="Calibri" w:cs="Calibri"/>
                <w:color w:val="000000"/>
                <w:kern w:val="0"/>
                <w:sz w:val="24"/>
                <w:szCs w:val="24"/>
                <w:lang w:bidi="ar"/>
              </w:rPr>
              <w:t>15</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管道支吊架（型钢）</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Calibri" w:hAnsi="Calibri" w:cs="Calibri"/>
                <w:color w:val="000000"/>
                <w:sz w:val="24"/>
                <w:szCs w:val="24"/>
              </w:rPr>
            </w:pPr>
            <w:r>
              <w:rPr>
                <w:rFonts w:ascii="Calibri" w:hAnsi="Calibri" w:cs="Calibri"/>
                <w:color w:val="000000"/>
                <w:kern w:val="0"/>
                <w:sz w:val="24"/>
                <w:szCs w:val="24"/>
                <w:lang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龙翔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公斤</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13.5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4050</w:t>
            </w:r>
          </w:p>
        </w:tc>
      </w:tr>
      <w:tr>
        <w:tblPrEx>
          <w:tblCellMar>
            <w:top w:w="0" w:type="dxa"/>
            <w:left w:w="108" w:type="dxa"/>
            <w:bottom w:w="0" w:type="dxa"/>
            <w:right w:w="108" w:type="dxa"/>
          </w:tblCellMar>
        </w:tblPrEx>
        <w:trPr>
          <w:trHeight w:val="7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cs="Calibri"/>
                <w:color w:val="000000"/>
                <w:sz w:val="24"/>
                <w:szCs w:val="24"/>
              </w:rPr>
            </w:pPr>
            <w:r>
              <w:rPr>
                <w:rFonts w:ascii="Calibri" w:hAnsi="Calibri" w:cs="Calibri"/>
                <w:color w:val="000000"/>
                <w:kern w:val="0"/>
                <w:sz w:val="24"/>
                <w:szCs w:val="24"/>
                <w:lang w:bidi="ar"/>
              </w:rPr>
              <w:t>16</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其他辅材（螺栓、油漆、焊材等）</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Calibri" w:hAnsi="Calibri" w:cs="Calibri"/>
                <w:color w:val="000000"/>
                <w:sz w:val="24"/>
                <w:szCs w:val="24"/>
              </w:rPr>
            </w:pPr>
            <w:r>
              <w:rPr>
                <w:rFonts w:ascii="Calibri" w:hAnsi="Calibri" w:cs="Calibri"/>
                <w:color w:val="000000"/>
                <w:kern w:val="0"/>
                <w:sz w:val="24"/>
                <w:szCs w:val="24"/>
                <w:lang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思远</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135000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135000</w:t>
            </w:r>
          </w:p>
        </w:tc>
      </w:tr>
      <w:tr>
        <w:tblPrEx>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cs="Calibri"/>
                <w:color w:val="000000"/>
                <w:sz w:val="24"/>
                <w:szCs w:val="24"/>
              </w:rPr>
            </w:pPr>
            <w:r>
              <w:rPr>
                <w:rFonts w:ascii="Calibri" w:hAnsi="Calibri" w:cs="Calibri"/>
                <w:color w:val="000000"/>
                <w:kern w:val="0"/>
                <w:sz w:val="24"/>
                <w:szCs w:val="24"/>
                <w:lang w:bidi="ar"/>
              </w:rPr>
              <w:t>17</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B1级橡塑保温板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Style w:val="37"/>
                <w:rFonts w:hint="default"/>
                <w:lang w:bidi="ar"/>
              </w:rPr>
              <w:t>厚度</w:t>
            </w:r>
            <w:r>
              <w:rPr>
                <w:rStyle w:val="36"/>
                <w:lang w:bidi="ar"/>
              </w:rPr>
              <w:t>30mm</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华美</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2460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4920</w:t>
            </w:r>
          </w:p>
        </w:tc>
      </w:tr>
      <w:tr>
        <w:tblPrEx>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cs="Calibri"/>
                <w:color w:val="000000"/>
                <w:sz w:val="24"/>
                <w:szCs w:val="24"/>
              </w:rPr>
            </w:pPr>
            <w:r>
              <w:rPr>
                <w:rFonts w:ascii="Calibri" w:hAnsi="Calibri" w:cs="Calibri"/>
                <w:color w:val="000000"/>
                <w:kern w:val="0"/>
                <w:sz w:val="24"/>
                <w:szCs w:val="24"/>
                <w:lang w:bidi="ar"/>
              </w:rPr>
              <w:t>18</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镜面铝板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Style w:val="37"/>
                <w:rFonts w:hint="default"/>
                <w:lang w:bidi="ar"/>
              </w:rPr>
              <w:t>厚度</w:t>
            </w:r>
            <w:r>
              <w:rPr>
                <w:rStyle w:val="36"/>
                <w:lang w:bidi="ar"/>
              </w:rPr>
              <w:t>0.5mm</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鑫泰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88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7040</w:t>
            </w:r>
          </w:p>
        </w:tc>
      </w:tr>
      <w:tr>
        <w:tblPrEx>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cs="Calibri"/>
                <w:color w:val="000000"/>
                <w:sz w:val="24"/>
                <w:szCs w:val="24"/>
              </w:rPr>
            </w:pPr>
            <w:r>
              <w:rPr>
                <w:rFonts w:ascii="Calibri" w:hAnsi="Calibri" w:cs="Calibri"/>
                <w:color w:val="000000"/>
                <w:kern w:val="0"/>
                <w:sz w:val="24"/>
                <w:szCs w:val="24"/>
                <w:lang w:bidi="ar"/>
              </w:rPr>
              <w:t>19</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不锈钢烟囱</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Calibri" w:hAnsi="Calibri" w:cs="Calibri"/>
                <w:color w:val="000000"/>
                <w:sz w:val="24"/>
                <w:szCs w:val="24"/>
              </w:rPr>
            </w:pPr>
            <w:r>
              <w:rPr>
                <w:rFonts w:ascii="Calibri" w:hAnsi="Calibri" w:cs="Calibri"/>
                <w:color w:val="000000"/>
                <w:kern w:val="0"/>
                <w:sz w:val="24"/>
                <w:szCs w:val="24"/>
                <w:lang w:bidi="ar"/>
              </w:rPr>
              <w:t>500*400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兴泰昌</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7860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117900</w:t>
            </w:r>
          </w:p>
        </w:tc>
      </w:tr>
      <w:tr>
        <w:tblPrEx>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cs="Calibri"/>
                <w:color w:val="000000"/>
                <w:sz w:val="24"/>
                <w:szCs w:val="24"/>
              </w:rPr>
            </w:pPr>
            <w:r>
              <w:rPr>
                <w:rFonts w:ascii="Calibri" w:hAnsi="Calibri" w:cs="Calibri"/>
                <w:color w:val="000000"/>
                <w:kern w:val="0"/>
                <w:sz w:val="24"/>
                <w:szCs w:val="24"/>
                <w:lang w:bidi="ar"/>
              </w:rPr>
              <w:t>20</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线管、线槽</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Calibri" w:hAnsi="Calibri" w:cs="Calibri"/>
                <w:color w:val="000000"/>
                <w:sz w:val="24"/>
                <w:szCs w:val="24"/>
              </w:rPr>
            </w:pPr>
            <w:r>
              <w:rPr>
                <w:rFonts w:ascii="Calibri" w:hAnsi="Calibri" w:cs="Calibri"/>
                <w:color w:val="000000"/>
                <w:kern w:val="0"/>
                <w:sz w:val="24"/>
                <w:szCs w:val="24"/>
                <w:lang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振赢</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150000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150000</w:t>
            </w:r>
          </w:p>
        </w:tc>
      </w:tr>
      <w:tr>
        <w:tblPrEx>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cs="Calibri"/>
                <w:color w:val="000000"/>
                <w:sz w:val="24"/>
                <w:szCs w:val="24"/>
              </w:rPr>
            </w:pPr>
            <w:r>
              <w:rPr>
                <w:rFonts w:ascii="Calibri" w:hAnsi="Calibri" w:cs="Calibri"/>
                <w:color w:val="000000"/>
                <w:kern w:val="0"/>
                <w:sz w:val="24"/>
                <w:szCs w:val="24"/>
                <w:lang w:bidi="ar"/>
              </w:rPr>
              <w:t>21</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线缆</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Calibri" w:hAnsi="Calibri" w:cs="Calibri"/>
                <w:color w:val="000000"/>
                <w:sz w:val="24"/>
                <w:szCs w:val="24"/>
              </w:rPr>
            </w:pPr>
            <w:r>
              <w:rPr>
                <w:rFonts w:ascii="Calibri" w:hAnsi="Calibri" w:cs="Calibri"/>
                <w:color w:val="000000"/>
                <w:kern w:val="0"/>
                <w:sz w:val="24"/>
                <w:szCs w:val="24"/>
                <w:lang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龙海金龙</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285000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285000</w:t>
            </w:r>
          </w:p>
        </w:tc>
      </w:tr>
      <w:tr>
        <w:tblPrEx>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cs="Calibri"/>
                <w:color w:val="000000"/>
                <w:sz w:val="24"/>
                <w:szCs w:val="24"/>
              </w:rPr>
            </w:pPr>
            <w:r>
              <w:rPr>
                <w:rFonts w:ascii="Calibri" w:hAnsi="Calibri" w:cs="Calibri"/>
                <w:color w:val="000000"/>
                <w:kern w:val="0"/>
                <w:sz w:val="24"/>
                <w:szCs w:val="24"/>
                <w:lang w:bidi="ar"/>
              </w:rPr>
              <w:t>22</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控制电脑</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Calibri" w:hAnsi="Calibri" w:cs="Calibri"/>
                <w:color w:val="000000"/>
                <w:sz w:val="24"/>
                <w:szCs w:val="24"/>
              </w:rPr>
            </w:pPr>
            <w:r>
              <w:rPr>
                <w:rFonts w:ascii="Calibri" w:hAnsi="Calibri" w:cs="Calibri"/>
                <w:color w:val="000000"/>
                <w:kern w:val="0"/>
                <w:sz w:val="24"/>
                <w:szCs w:val="24"/>
                <w:lang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联想</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59600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59600</w:t>
            </w:r>
          </w:p>
        </w:tc>
      </w:tr>
      <w:tr>
        <w:tblPrEx>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cs="Calibri"/>
                <w:color w:val="000000"/>
                <w:sz w:val="24"/>
                <w:szCs w:val="24"/>
              </w:rPr>
            </w:pPr>
            <w:r>
              <w:rPr>
                <w:rFonts w:ascii="Calibri" w:hAnsi="Calibri" w:cs="Calibri"/>
                <w:color w:val="000000"/>
                <w:kern w:val="0"/>
                <w:sz w:val="24"/>
                <w:szCs w:val="24"/>
                <w:lang w:bidi="ar"/>
              </w:rPr>
              <w:t>23</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电气元件</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Calibri" w:hAnsi="Calibri" w:cs="Calibri"/>
                <w:color w:val="000000"/>
                <w:sz w:val="24"/>
                <w:szCs w:val="24"/>
              </w:rPr>
            </w:pPr>
            <w:r>
              <w:rPr>
                <w:rFonts w:ascii="Calibri" w:hAnsi="Calibri" w:cs="Calibri"/>
                <w:color w:val="000000"/>
                <w:kern w:val="0"/>
                <w:sz w:val="24"/>
                <w:szCs w:val="24"/>
                <w:lang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德力西</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37600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37600</w:t>
            </w:r>
          </w:p>
        </w:tc>
      </w:tr>
      <w:tr>
        <w:tblPrEx>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cs="Calibri"/>
                <w:color w:val="000000"/>
                <w:sz w:val="24"/>
                <w:szCs w:val="24"/>
              </w:rPr>
            </w:pPr>
            <w:r>
              <w:rPr>
                <w:rFonts w:ascii="Calibri" w:hAnsi="Calibri" w:cs="Calibri"/>
                <w:color w:val="000000"/>
                <w:kern w:val="0"/>
                <w:sz w:val="24"/>
                <w:szCs w:val="24"/>
                <w:lang w:bidi="ar"/>
              </w:rPr>
              <w:t>24</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PLC控制箱</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Calibri" w:hAnsi="Calibri" w:cs="Calibri"/>
                <w:color w:val="000000"/>
                <w:sz w:val="24"/>
                <w:szCs w:val="24"/>
              </w:rPr>
            </w:pPr>
            <w:r>
              <w:rPr>
                <w:rFonts w:ascii="Calibri" w:hAnsi="Calibri" w:cs="Calibri"/>
                <w:color w:val="000000"/>
                <w:kern w:val="0"/>
                <w:sz w:val="24"/>
                <w:szCs w:val="24"/>
                <w:lang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天宇华测</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88300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264900</w:t>
            </w:r>
          </w:p>
        </w:tc>
      </w:tr>
      <w:tr>
        <w:tblPrEx>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cs="Calibri"/>
                <w:color w:val="000000"/>
                <w:sz w:val="24"/>
                <w:szCs w:val="24"/>
              </w:rPr>
            </w:pPr>
            <w:r>
              <w:rPr>
                <w:rFonts w:ascii="Calibri" w:hAnsi="Calibri" w:cs="Calibri"/>
                <w:color w:val="000000"/>
                <w:kern w:val="0"/>
                <w:sz w:val="24"/>
                <w:szCs w:val="24"/>
                <w:lang w:bidi="ar"/>
              </w:rPr>
              <w:t>25</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全自动加药装置</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Calibri" w:hAnsi="Calibri" w:cs="Calibri"/>
                <w:color w:val="000000"/>
                <w:sz w:val="24"/>
                <w:szCs w:val="24"/>
              </w:rPr>
            </w:pPr>
            <w:r>
              <w:rPr>
                <w:rFonts w:ascii="Calibri" w:hAnsi="Calibri" w:cs="Calibri"/>
                <w:color w:val="000000"/>
                <w:kern w:val="0"/>
                <w:sz w:val="24"/>
                <w:szCs w:val="24"/>
                <w:lang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罗道</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58760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58760</w:t>
            </w:r>
          </w:p>
        </w:tc>
      </w:tr>
      <w:tr>
        <w:tblPrEx>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cs="Calibri"/>
                <w:color w:val="000000"/>
                <w:sz w:val="24"/>
                <w:szCs w:val="24"/>
              </w:rPr>
            </w:pPr>
            <w:r>
              <w:rPr>
                <w:rFonts w:ascii="Calibri" w:hAnsi="Calibri" w:cs="Calibri"/>
                <w:color w:val="000000"/>
                <w:kern w:val="0"/>
                <w:sz w:val="24"/>
                <w:szCs w:val="24"/>
                <w:lang w:bidi="ar"/>
              </w:rPr>
              <w:t>26</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全自动软水器8t/h</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Calibri" w:hAnsi="Calibri" w:cs="Calibri"/>
                <w:color w:val="000000"/>
                <w:sz w:val="24"/>
                <w:szCs w:val="24"/>
              </w:rPr>
            </w:pPr>
            <w:r>
              <w:rPr>
                <w:rFonts w:ascii="Calibri" w:hAnsi="Calibri" w:cs="Calibri"/>
                <w:color w:val="000000"/>
                <w:kern w:val="0"/>
                <w:sz w:val="24"/>
                <w:szCs w:val="24"/>
                <w:lang w:bidi="ar"/>
              </w:rPr>
              <w:t>8t/h</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罗道</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46844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46844</w:t>
            </w:r>
          </w:p>
        </w:tc>
      </w:tr>
      <w:tr>
        <w:tblPrEx>
          <w:tblCellMar>
            <w:top w:w="0" w:type="dxa"/>
            <w:left w:w="108" w:type="dxa"/>
            <w:bottom w:w="0" w:type="dxa"/>
            <w:right w:w="108" w:type="dxa"/>
          </w:tblCellMar>
        </w:tblPrEx>
        <w:trPr>
          <w:trHeight w:val="3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Calibri" w:hAnsi="Calibri" w:cs="Calibri"/>
                <w:color w:val="000000"/>
                <w:sz w:val="24"/>
                <w:szCs w:val="24"/>
              </w:rPr>
            </w:pPr>
            <w:r>
              <w:rPr>
                <w:rFonts w:ascii="Calibri" w:hAnsi="Calibri" w:cs="Calibri"/>
                <w:color w:val="000000"/>
                <w:kern w:val="0"/>
                <w:sz w:val="24"/>
                <w:szCs w:val="24"/>
                <w:lang w:bidi="ar"/>
              </w:rPr>
              <w:t>27</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总计含税金额（13%）</w:t>
            </w:r>
          </w:p>
        </w:tc>
        <w:tc>
          <w:tcPr>
            <w:tcW w:w="5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大写</w:t>
            </w:r>
            <w:r>
              <w:rPr>
                <w:rStyle w:val="38"/>
                <w:lang w:bidi="ar"/>
              </w:rPr>
              <w:t>:</w:t>
            </w:r>
            <w:r>
              <w:rPr>
                <w:rStyle w:val="39"/>
                <w:rFonts w:hint="default"/>
                <w:lang w:bidi="ar"/>
              </w:rPr>
              <w:t>壹佰贰拾伍万陆仟圆整</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1256000</w:t>
            </w:r>
          </w:p>
        </w:tc>
      </w:tr>
    </w:tbl>
    <w:p>
      <w:pPr>
        <w:tabs>
          <w:tab w:val="center" w:pos="4153"/>
        </w:tabs>
        <w:spacing w:line="480" w:lineRule="auto"/>
        <w:rPr>
          <w:rFonts w:ascii="宋体" w:hAnsi="宋体" w:cs="宋体"/>
          <w:color w:val="000000"/>
          <w:szCs w:val="21"/>
        </w:rPr>
      </w:pPr>
    </w:p>
    <w:p>
      <w:pPr>
        <w:tabs>
          <w:tab w:val="center" w:pos="4153"/>
        </w:tabs>
        <w:spacing w:line="480" w:lineRule="auto"/>
        <w:rPr>
          <w:rFonts w:ascii="宋体" w:hAnsi="宋体" w:cs="宋体"/>
          <w:color w:val="000000"/>
          <w:szCs w:val="21"/>
        </w:rPr>
      </w:pPr>
    </w:p>
    <w:tbl>
      <w:tblPr>
        <w:tblStyle w:val="26"/>
        <w:tblW w:w="9315" w:type="dxa"/>
        <w:jc w:val="center"/>
        <w:tblLayout w:type="autofit"/>
        <w:tblCellMar>
          <w:top w:w="0" w:type="dxa"/>
          <w:left w:w="108" w:type="dxa"/>
          <w:bottom w:w="0" w:type="dxa"/>
          <w:right w:w="108" w:type="dxa"/>
        </w:tblCellMar>
      </w:tblPr>
      <w:tblGrid>
        <w:gridCol w:w="798"/>
        <w:gridCol w:w="3512"/>
        <w:gridCol w:w="976"/>
        <w:gridCol w:w="942"/>
        <w:gridCol w:w="1544"/>
        <w:gridCol w:w="1543"/>
      </w:tblGrid>
      <w:tr>
        <w:tblPrEx>
          <w:tblCellMar>
            <w:top w:w="0" w:type="dxa"/>
            <w:left w:w="108" w:type="dxa"/>
            <w:bottom w:w="0" w:type="dxa"/>
            <w:right w:w="108" w:type="dxa"/>
          </w:tblCellMar>
        </w:tblPrEx>
        <w:trPr>
          <w:trHeight w:val="620" w:hRule="atLeast"/>
          <w:jc w:val="center"/>
        </w:trPr>
        <w:tc>
          <w:tcPr>
            <w:tcW w:w="9315" w:type="dxa"/>
            <w:gridSpan w:val="6"/>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lang w:bidi="ar"/>
              </w:rPr>
              <w:t>安装工程报价清单</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子分部名称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含税单价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含税合价</w:t>
            </w:r>
          </w:p>
        </w:tc>
      </w:tr>
      <w:tr>
        <w:tblPrEx>
          <w:tblCellMar>
            <w:top w:w="0" w:type="dxa"/>
            <w:left w:w="108" w:type="dxa"/>
            <w:bottom w:w="0" w:type="dxa"/>
            <w:right w:w="108" w:type="dxa"/>
          </w:tblCellMar>
        </w:tblPrEx>
        <w:trPr>
          <w:trHeight w:val="6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新机组、水泵场内起重运输、组装</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85,000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85,000 </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运输路由支护</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15,000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15,000 </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机组安装</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12,600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25,200 </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水泵安装</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6,800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40,800 </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设备基础改造</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15,000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30,000 </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6</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水管道、阀门安装及试压冲洗</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285,000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285,000 </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7</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保温安装</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35,000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35,000 </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8</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烟囱安装</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28,000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28,000 </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9</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电力、控制线路安装</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85,000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85,000 </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水泵配电柜改造</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32,000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32,000 </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11</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系统调试</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15,000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15,000 </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安全文明施工费</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76,300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76,300 </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安装工程含税总价（9%）</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大写：柒拾伍万贰仟叁佰圆整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752300</w:t>
            </w:r>
          </w:p>
        </w:tc>
      </w:tr>
    </w:tbl>
    <w:p>
      <w:pPr>
        <w:tabs>
          <w:tab w:val="center" w:pos="4153"/>
        </w:tabs>
        <w:spacing w:line="480" w:lineRule="auto"/>
        <w:rPr>
          <w:rFonts w:ascii="宋体" w:hAnsi="宋体" w:cs="宋体"/>
          <w:color w:val="000000"/>
          <w:szCs w:val="21"/>
        </w:rPr>
      </w:pPr>
    </w:p>
    <w:sectPr>
      <w:footerReference r:id="rId3" w:type="default"/>
      <w:pgSz w:w="11906" w:h="16838"/>
      <w:pgMar w:top="1240" w:right="1800" w:bottom="680" w:left="1800" w:header="851" w:footer="992"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TimesNewRomanPSMT">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Style w:val="28"/>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OepaY8EBAACNAwAADgAAAAAAAAABACAAAAAeAQAAZHJzL2Uyb0RvYy54bWxQSwUG&#10;AAAAAAYABgBZAQAAU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BB18CA"/>
    <w:multiLevelType w:val="multilevel"/>
    <w:tmpl w:val="01BB18C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0603A78"/>
    <w:multiLevelType w:val="singleLevel"/>
    <w:tmpl w:val="50603A78"/>
    <w:lvl w:ilvl="0" w:tentative="0">
      <w:start w:val="1"/>
      <w:numFmt w:val="decimal"/>
      <w:lvlText w:val="%1."/>
      <w:lvlJc w:val="left"/>
      <w:pPr>
        <w:tabs>
          <w:tab w:val="left" w:pos="576"/>
        </w:tabs>
        <w:ind w:left="576" w:hanging="576"/>
      </w:pPr>
      <w:rPr>
        <w:rFonts w:hint="eastAsia"/>
      </w:rPr>
    </w:lvl>
  </w:abstractNum>
  <w:abstractNum w:abstractNumId="2">
    <w:nsid w:val="557425A8"/>
    <w:multiLevelType w:val="singleLevel"/>
    <w:tmpl w:val="557425A8"/>
    <w:lvl w:ilvl="0" w:tentative="0">
      <w:start w:val="1"/>
      <w:numFmt w:val="decimal"/>
      <w:suff w:val="nothing"/>
      <w:lvlText w:val="%1）"/>
      <w:lvlJc w:val="left"/>
    </w:lvl>
  </w:abstractNum>
  <w:abstractNum w:abstractNumId="3">
    <w:nsid w:val="5EA23C06"/>
    <w:multiLevelType w:val="multilevel"/>
    <w:tmpl w:val="5EA23C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D4050AB"/>
    <w:multiLevelType w:val="singleLevel"/>
    <w:tmpl w:val="6D4050AB"/>
    <w:lvl w:ilvl="0" w:tentative="0">
      <w:start w:val="15"/>
      <w:numFmt w:val="chineseCounting"/>
      <w:suff w:val="space"/>
      <w:lvlText w:val="第%1章"/>
      <w:lvlJc w:val="left"/>
      <w:rPr>
        <w:rFonts w:hint="eastAsia"/>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257B"/>
    <w:rsid w:val="00046902"/>
    <w:rsid w:val="00060CDA"/>
    <w:rsid w:val="000829E3"/>
    <w:rsid w:val="00084D24"/>
    <w:rsid w:val="000902A6"/>
    <w:rsid w:val="000A0D26"/>
    <w:rsid w:val="000F5A8B"/>
    <w:rsid w:val="00110789"/>
    <w:rsid w:val="0013755F"/>
    <w:rsid w:val="00172A27"/>
    <w:rsid w:val="00196E88"/>
    <w:rsid w:val="001A3196"/>
    <w:rsid w:val="001C2105"/>
    <w:rsid w:val="001C62FA"/>
    <w:rsid w:val="001E1BDB"/>
    <w:rsid w:val="0022213E"/>
    <w:rsid w:val="002A3D58"/>
    <w:rsid w:val="002D76FE"/>
    <w:rsid w:val="00313AFC"/>
    <w:rsid w:val="00343FB2"/>
    <w:rsid w:val="00354C37"/>
    <w:rsid w:val="003970BD"/>
    <w:rsid w:val="003A1D51"/>
    <w:rsid w:val="003E2B74"/>
    <w:rsid w:val="00401E54"/>
    <w:rsid w:val="00402A5F"/>
    <w:rsid w:val="00404E8A"/>
    <w:rsid w:val="00417B23"/>
    <w:rsid w:val="00422936"/>
    <w:rsid w:val="00436452"/>
    <w:rsid w:val="00437C55"/>
    <w:rsid w:val="004C4B1D"/>
    <w:rsid w:val="004D5A57"/>
    <w:rsid w:val="00586F83"/>
    <w:rsid w:val="005B0667"/>
    <w:rsid w:val="00643A46"/>
    <w:rsid w:val="006700DA"/>
    <w:rsid w:val="00682EB1"/>
    <w:rsid w:val="00693108"/>
    <w:rsid w:val="006A5D9C"/>
    <w:rsid w:val="006E2444"/>
    <w:rsid w:val="00700228"/>
    <w:rsid w:val="0070664A"/>
    <w:rsid w:val="00745C69"/>
    <w:rsid w:val="00770D83"/>
    <w:rsid w:val="007C2B1C"/>
    <w:rsid w:val="007D2184"/>
    <w:rsid w:val="007D2216"/>
    <w:rsid w:val="007D3E65"/>
    <w:rsid w:val="007D537D"/>
    <w:rsid w:val="007D7729"/>
    <w:rsid w:val="007F2B36"/>
    <w:rsid w:val="0080130B"/>
    <w:rsid w:val="008154A5"/>
    <w:rsid w:val="00832130"/>
    <w:rsid w:val="00844339"/>
    <w:rsid w:val="00865D0B"/>
    <w:rsid w:val="008A7FD3"/>
    <w:rsid w:val="008E26CB"/>
    <w:rsid w:val="008E5D5F"/>
    <w:rsid w:val="008E7583"/>
    <w:rsid w:val="009A04B5"/>
    <w:rsid w:val="009C530C"/>
    <w:rsid w:val="009E65B7"/>
    <w:rsid w:val="00A2423D"/>
    <w:rsid w:val="00A24FC0"/>
    <w:rsid w:val="00A31C28"/>
    <w:rsid w:val="00A4073D"/>
    <w:rsid w:val="00A45216"/>
    <w:rsid w:val="00A460EB"/>
    <w:rsid w:val="00A613CF"/>
    <w:rsid w:val="00A64548"/>
    <w:rsid w:val="00A866EF"/>
    <w:rsid w:val="00AA3D52"/>
    <w:rsid w:val="00AC07D3"/>
    <w:rsid w:val="00AD2C14"/>
    <w:rsid w:val="00AE6C5F"/>
    <w:rsid w:val="00B619AC"/>
    <w:rsid w:val="00B632BF"/>
    <w:rsid w:val="00BA6D12"/>
    <w:rsid w:val="00BC0962"/>
    <w:rsid w:val="00BD2BD2"/>
    <w:rsid w:val="00C1195E"/>
    <w:rsid w:val="00C126DC"/>
    <w:rsid w:val="00C14631"/>
    <w:rsid w:val="00C37F2C"/>
    <w:rsid w:val="00C71812"/>
    <w:rsid w:val="00CA44CC"/>
    <w:rsid w:val="00CB1A66"/>
    <w:rsid w:val="00CB72CC"/>
    <w:rsid w:val="00CC7B2A"/>
    <w:rsid w:val="00D16238"/>
    <w:rsid w:val="00D77970"/>
    <w:rsid w:val="00DF1C33"/>
    <w:rsid w:val="00E07CB5"/>
    <w:rsid w:val="00E13208"/>
    <w:rsid w:val="00E17D04"/>
    <w:rsid w:val="00E801D8"/>
    <w:rsid w:val="00E80491"/>
    <w:rsid w:val="00EA54AB"/>
    <w:rsid w:val="00EC355E"/>
    <w:rsid w:val="00ED1CB1"/>
    <w:rsid w:val="00EE197A"/>
    <w:rsid w:val="00EF0673"/>
    <w:rsid w:val="00F063D6"/>
    <w:rsid w:val="00F20BA2"/>
    <w:rsid w:val="00F25D82"/>
    <w:rsid w:val="00F515AA"/>
    <w:rsid w:val="00F70336"/>
    <w:rsid w:val="03477E6F"/>
    <w:rsid w:val="0B1B4548"/>
    <w:rsid w:val="0EC71495"/>
    <w:rsid w:val="131602D0"/>
    <w:rsid w:val="135C1D7E"/>
    <w:rsid w:val="14A4376A"/>
    <w:rsid w:val="15320BF0"/>
    <w:rsid w:val="15BD1CB8"/>
    <w:rsid w:val="16461890"/>
    <w:rsid w:val="19140351"/>
    <w:rsid w:val="1B285184"/>
    <w:rsid w:val="1CD13D11"/>
    <w:rsid w:val="1E95493A"/>
    <w:rsid w:val="22330628"/>
    <w:rsid w:val="228B233C"/>
    <w:rsid w:val="22FE6DF7"/>
    <w:rsid w:val="25F044F2"/>
    <w:rsid w:val="28A02C17"/>
    <w:rsid w:val="2A7F5021"/>
    <w:rsid w:val="2B490B90"/>
    <w:rsid w:val="2DDB0EC9"/>
    <w:rsid w:val="2FAC58E2"/>
    <w:rsid w:val="30167714"/>
    <w:rsid w:val="312C033C"/>
    <w:rsid w:val="31AB7FEC"/>
    <w:rsid w:val="32CF5169"/>
    <w:rsid w:val="34D73340"/>
    <w:rsid w:val="37A57C5B"/>
    <w:rsid w:val="39B82B3E"/>
    <w:rsid w:val="3AEB0471"/>
    <w:rsid w:val="3AF834CA"/>
    <w:rsid w:val="3BD340C4"/>
    <w:rsid w:val="3C042703"/>
    <w:rsid w:val="42112CF3"/>
    <w:rsid w:val="42422836"/>
    <w:rsid w:val="448D11E1"/>
    <w:rsid w:val="450A345E"/>
    <w:rsid w:val="46202199"/>
    <w:rsid w:val="46523C6D"/>
    <w:rsid w:val="49703B8A"/>
    <w:rsid w:val="4B5317A1"/>
    <w:rsid w:val="4F851A39"/>
    <w:rsid w:val="50357E60"/>
    <w:rsid w:val="51765FDE"/>
    <w:rsid w:val="5887189A"/>
    <w:rsid w:val="5A3676D1"/>
    <w:rsid w:val="5C001E00"/>
    <w:rsid w:val="5DBC29FF"/>
    <w:rsid w:val="60AD7145"/>
    <w:rsid w:val="610B09DF"/>
    <w:rsid w:val="6A647F9B"/>
    <w:rsid w:val="6B441808"/>
    <w:rsid w:val="6BB33FC9"/>
    <w:rsid w:val="6BBC5FCE"/>
    <w:rsid w:val="6D2C5B9E"/>
    <w:rsid w:val="6DFC64FD"/>
    <w:rsid w:val="7380460B"/>
    <w:rsid w:val="73C93B06"/>
    <w:rsid w:val="73D4186F"/>
    <w:rsid w:val="74FE3E5C"/>
    <w:rsid w:val="750F0599"/>
    <w:rsid w:val="79440DB2"/>
    <w:rsid w:val="7A350B15"/>
    <w:rsid w:val="7B513E0C"/>
    <w:rsid w:val="7D0E6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widowControl/>
      <w:jc w:val="center"/>
      <w:outlineLvl w:val="0"/>
    </w:pPr>
    <w:rPr>
      <w:rFonts w:ascii="宋体" w:hAnsi="宋体"/>
      <w:b/>
      <w:bCs/>
      <w:sz w:val="24"/>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7">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qFormat/>
    <w:uiPriority w:val="0"/>
    <w:pPr>
      <w:ind w:left="2520" w:leftChars="1200"/>
    </w:pPr>
  </w:style>
  <w:style w:type="paragraph" w:styleId="5">
    <w:name w:val="Normal Indent"/>
    <w:basedOn w:val="1"/>
    <w:qFormat/>
    <w:uiPriority w:val="0"/>
    <w:pPr>
      <w:ind w:firstLine="420"/>
    </w:pPr>
  </w:style>
  <w:style w:type="paragraph" w:styleId="6">
    <w:name w:val="annotation text"/>
    <w:basedOn w:val="1"/>
    <w:uiPriority w:val="0"/>
    <w:pPr>
      <w:jc w:val="left"/>
    </w:pPr>
  </w:style>
  <w:style w:type="paragraph" w:styleId="7">
    <w:name w:val="Body Text 3"/>
    <w:basedOn w:val="1"/>
    <w:uiPriority w:val="0"/>
    <w:pPr>
      <w:spacing w:after="120"/>
    </w:pPr>
    <w:rPr>
      <w:sz w:val="16"/>
      <w:szCs w:val="16"/>
    </w:rPr>
  </w:style>
  <w:style w:type="paragraph" w:styleId="8">
    <w:name w:val="Body Text"/>
    <w:basedOn w:val="1"/>
    <w:uiPriority w:val="0"/>
    <w:pPr>
      <w:spacing w:line="360" w:lineRule="auto"/>
    </w:pPr>
    <w:rPr>
      <w:rFonts w:ascii="宋体"/>
      <w:sz w:val="28"/>
    </w:rPr>
  </w:style>
  <w:style w:type="paragraph" w:styleId="9">
    <w:name w:val="Body Text Indent"/>
    <w:basedOn w:val="1"/>
    <w:uiPriority w:val="0"/>
    <w:pPr>
      <w:spacing w:line="360" w:lineRule="auto"/>
      <w:ind w:left="144"/>
    </w:pPr>
    <w:rPr>
      <w:rFonts w:ascii="宋体"/>
      <w:sz w:val="28"/>
    </w:rPr>
  </w:style>
  <w:style w:type="paragraph" w:styleId="10">
    <w:name w:val="toc 5"/>
    <w:basedOn w:val="1"/>
    <w:next w:val="1"/>
    <w:uiPriority w:val="0"/>
    <w:pPr>
      <w:ind w:left="1680" w:leftChars="800"/>
    </w:pPr>
  </w:style>
  <w:style w:type="paragraph" w:styleId="11">
    <w:name w:val="toc 3"/>
    <w:basedOn w:val="1"/>
    <w:next w:val="1"/>
    <w:uiPriority w:val="0"/>
    <w:pPr>
      <w:ind w:left="840" w:leftChars="400"/>
    </w:pPr>
  </w:style>
  <w:style w:type="paragraph" w:styleId="12">
    <w:name w:val="Plain Text"/>
    <w:basedOn w:val="1"/>
    <w:uiPriority w:val="0"/>
    <w:pPr>
      <w:widowControl/>
      <w:overflowPunct w:val="0"/>
      <w:autoSpaceDE w:val="0"/>
      <w:autoSpaceDN w:val="0"/>
      <w:jc w:val="left"/>
    </w:pPr>
    <w:rPr>
      <w:rFonts w:ascii="宋体" w:hAnsi="Courier New"/>
    </w:rPr>
  </w:style>
  <w:style w:type="paragraph" w:styleId="13">
    <w:name w:val="toc 8"/>
    <w:basedOn w:val="1"/>
    <w:next w:val="1"/>
    <w:uiPriority w:val="0"/>
    <w:pPr>
      <w:ind w:left="2940" w:leftChars="1400"/>
    </w:pPr>
  </w:style>
  <w:style w:type="paragraph" w:styleId="14">
    <w:name w:val="Date"/>
    <w:basedOn w:val="1"/>
    <w:next w:val="1"/>
    <w:uiPriority w:val="0"/>
    <w:rPr>
      <w:rFonts w:ascii="楷体_GB2312" w:eastAsia="楷体_GB2312"/>
      <w:b/>
      <w:i/>
      <w:sz w:val="28"/>
      <w:lang w:val="en-GB"/>
    </w:rPr>
  </w:style>
  <w:style w:type="paragraph" w:styleId="15">
    <w:name w:val="Body Text Indent 2"/>
    <w:basedOn w:val="1"/>
    <w:uiPriority w:val="0"/>
    <w:pPr>
      <w:spacing w:line="360" w:lineRule="auto"/>
      <w:ind w:left="630" w:leftChars="300"/>
    </w:pPr>
    <w:rPr>
      <w:lang w:val="en-GB"/>
    </w:rPr>
  </w:style>
  <w:style w:type="paragraph" w:styleId="16">
    <w:name w:val="Balloon Text"/>
    <w:basedOn w:val="1"/>
    <w:link w:val="35"/>
    <w:uiPriority w:val="0"/>
    <w:rPr>
      <w:sz w:val="18"/>
      <w:szCs w:val="18"/>
    </w:rPr>
  </w:style>
  <w:style w:type="paragraph" w:styleId="17">
    <w:name w:val="footer"/>
    <w:basedOn w:val="1"/>
    <w:uiPriority w:val="0"/>
    <w:pPr>
      <w:tabs>
        <w:tab w:val="center" w:pos="4153"/>
        <w:tab w:val="right" w:pos="8306"/>
      </w:tabs>
      <w:snapToGrid w:val="0"/>
      <w:spacing w:line="240" w:lineRule="atLeast"/>
      <w:jc w:val="left"/>
    </w:pPr>
    <w:rPr>
      <w:sz w:val="18"/>
      <w:szCs w:val="18"/>
    </w:rPr>
  </w:style>
  <w:style w:type="paragraph" w:styleId="18">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9">
    <w:name w:val="toc 1"/>
    <w:basedOn w:val="1"/>
    <w:next w:val="1"/>
    <w:uiPriority w:val="0"/>
  </w:style>
  <w:style w:type="paragraph" w:styleId="20">
    <w:name w:val="toc 4"/>
    <w:basedOn w:val="1"/>
    <w:next w:val="1"/>
    <w:uiPriority w:val="0"/>
    <w:pPr>
      <w:ind w:left="1260" w:leftChars="600"/>
    </w:pPr>
  </w:style>
  <w:style w:type="paragraph" w:styleId="21">
    <w:name w:val="toc 6"/>
    <w:basedOn w:val="1"/>
    <w:next w:val="1"/>
    <w:uiPriority w:val="0"/>
    <w:pPr>
      <w:ind w:left="2100" w:leftChars="1000"/>
    </w:pPr>
  </w:style>
  <w:style w:type="paragraph" w:styleId="22">
    <w:name w:val="Body Text Indent 3"/>
    <w:basedOn w:val="1"/>
    <w:uiPriority w:val="0"/>
    <w:pPr>
      <w:spacing w:after="120"/>
      <w:ind w:left="420" w:leftChars="200"/>
    </w:pPr>
    <w:rPr>
      <w:sz w:val="16"/>
      <w:szCs w:val="16"/>
    </w:rPr>
  </w:style>
  <w:style w:type="paragraph" w:styleId="23">
    <w:name w:val="toc 2"/>
    <w:basedOn w:val="1"/>
    <w:next w:val="1"/>
    <w:uiPriority w:val="0"/>
    <w:pPr>
      <w:ind w:left="420" w:leftChars="200"/>
    </w:pPr>
  </w:style>
  <w:style w:type="paragraph" w:styleId="24">
    <w:name w:val="toc 9"/>
    <w:basedOn w:val="1"/>
    <w:next w:val="1"/>
    <w:uiPriority w:val="0"/>
    <w:pPr>
      <w:ind w:left="3360" w:leftChars="1600"/>
    </w:pPr>
  </w:style>
  <w:style w:type="paragraph" w:styleId="25">
    <w:name w:val="Body Text 2"/>
    <w:basedOn w:val="1"/>
    <w:uiPriority w:val="0"/>
    <w:pPr>
      <w:autoSpaceDE w:val="0"/>
      <w:autoSpaceDN w:val="0"/>
      <w:jc w:val="center"/>
    </w:pPr>
    <w:rPr>
      <w:b/>
      <w:bCs/>
      <w:color w:val="000000"/>
      <w:sz w:val="24"/>
      <w:szCs w:val="36"/>
      <w:lang w:val="zh-CN"/>
    </w:rPr>
  </w:style>
  <w:style w:type="character" w:styleId="28">
    <w:name w:val="page number"/>
    <w:basedOn w:val="27"/>
    <w:uiPriority w:val="0"/>
  </w:style>
  <w:style w:type="paragraph" w:customStyle="1" w:styleId="29">
    <w:name w:val="n"/>
    <w:basedOn w:val="1"/>
    <w:uiPriority w:val="0"/>
    <w:pPr>
      <w:autoSpaceDE w:val="0"/>
      <w:autoSpaceDN w:val="0"/>
      <w:spacing w:line="400" w:lineRule="atLeast"/>
    </w:pPr>
    <w:rPr>
      <w:rFonts w:ascii="宋体"/>
      <w:sz w:val="24"/>
    </w:rPr>
  </w:style>
  <w:style w:type="paragraph" w:customStyle="1" w:styleId="30">
    <w:name w:val="xl34"/>
    <w:basedOn w:val="1"/>
    <w:uiPriority w:val="0"/>
    <w:pPr>
      <w:widowControl/>
      <w:spacing w:before="100" w:beforeAutospacing="1" w:after="100" w:afterAutospacing="1"/>
      <w:jc w:val="center"/>
    </w:pPr>
    <w:rPr>
      <w:rFonts w:ascii="Arial Unicode MS" w:hAnsi="Arial Unicode MS" w:eastAsia="Arial Unicode MS"/>
      <w:b/>
      <w:bCs/>
      <w:sz w:val="32"/>
      <w:szCs w:val="32"/>
    </w:rPr>
  </w:style>
  <w:style w:type="paragraph" w:styleId="31">
    <w:name w:val="List Paragraph"/>
    <w:basedOn w:val="1"/>
    <w:qFormat/>
    <w:uiPriority w:val="34"/>
    <w:pPr>
      <w:ind w:firstLine="420" w:firstLineChars="200"/>
    </w:pPr>
    <w:rPr>
      <w:rFonts w:ascii="Calibri" w:hAnsi="Calibri"/>
      <w:szCs w:val="22"/>
    </w:rPr>
  </w:style>
  <w:style w:type="paragraph" w:customStyle="1" w:styleId="32">
    <w:name w:val="WPSOffice手动目录 1"/>
    <w:uiPriority w:val="0"/>
    <w:rPr>
      <w:rFonts w:ascii="Times New Roman" w:hAnsi="Times New Roman" w:eastAsia="宋体" w:cs="Times New Roman"/>
      <w:lang w:val="en-US" w:eastAsia="zh-CN" w:bidi="ar-SA"/>
    </w:rPr>
  </w:style>
  <w:style w:type="paragraph" w:customStyle="1" w:styleId="33">
    <w:name w:val="Char"/>
    <w:basedOn w:val="1"/>
    <w:uiPriority w:val="0"/>
  </w:style>
  <w:style w:type="paragraph" w:customStyle="1" w:styleId="34">
    <w:name w:val="xl30"/>
    <w:basedOn w:val="1"/>
    <w:uiPriority w:val="0"/>
    <w:pPr>
      <w:widowControl/>
      <w:spacing w:before="100" w:beforeAutospacing="1" w:after="100" w:afterAutospacing="1"/>
      <w:jc w:val="center"/>
    </w:pPr>
    <w:rPr>
      <w:rFonts w:ascii="Arial Unicode MS" w:hAnsi="Arial Unicode MS" w:eastAsia="Arial Unicode MS"/>
      <w:sz w:val="24"/>
      <w:szCs w:val="24"/>
    </w:rPr>
  </w:style>
  <w:style w:type="character" w:customStyle="1" w:styleId="35">
    <w:name w:val="批注框文本 Char"/>
    <w:link w:val="16"/>
    <w:uiPriority w:val="0"/>
    <w:rPr>
      <w:kern w:val="2"/>
      <w:sz w:val="18"/>
      <w:szCs w:val="18"/>
    </w:rPr>
  </w:style>
  <w:style w:type="character" w:customStyle="1" w:styleId="36">
    <w:name w:val="font51"/>
    <w:basedOn w:val="27"/>
    <w:uiPriority w:val="0"/>
    <w:rPr>
      <w:rFonts w:hint="default" w:ascii="Calibri" w:hAnsi="Calibri" w:cs="Calibri"/>
      <w:color w:val="000000"/>
      <w:sz w:val="24"/>
      <w:szCs w:val="24"/>
      <w:u w:val="none"/>
    </w:rPr>
  </w:style>
  <w:style w:type="character" w:customStyle="1" w:styleId="37">
    <w:name w:val="font21"/>
    <w:basedOn w:val="27"/>
    <w:uiPriority w:val="0"/>
    <w:rPr>
      <w:rFonts w:hint="eastAsia" w:ascii="宋体" w:hAnsi="宋体" w:eastAsia="宋体" w:cs="宋体"/>
      <w:color w:val="000000"/>
      <w:sz w:val="24"/>
      <w:szCs w:val="24"/>
      <w:u w:val="none"/>
    </w:rPr>
  </w:style>
  <w:style w:type="character" w:customStyle="1" w:styleId="38">
    <w:name w:val="font41"/>
    <w:basedOn w:val="27"/>
    <w:uiPriority w:val="0"/>
    <w:rPr>
      <w:rFonts w:hint="default" w:ascii="Calibri" w:hAnsi="Calibri" w:cs="Calibri"/>
      <w:b/>
      <w:bCs/>
      <w:color w:val="000000"/>
      <w:sz w:val="24"/>
      <w:szCs w:val="24"/>
      <w:u w:val="none"/>
    </w:rPr>
  </w:style>
  <w:style w:type="character" w:customStyle="1" w:styleId="39">
    <w:name w:val="font01"/>
    <w:basedOn w:val="27"/>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冰山集团</Company>
  <Pages>9</Pages>
  <Words>890</Words>
  <Characters>5079</Characters>
  <Lines>42</Lines>
  <Paragraphs>11</Paragraphs>
  <TotalTime>6</TotalTime>
  <ScaleCrop>false</ScaleCrop>
  <LinksUpToDate>false</LinksUpToDate>
  <CharactersWithSpaces>5958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2021-05-20T04:58:00Z</dcterms:created>
  <dc:creator>叶鹏</dc:creator>
  <cp:lastModifiedBy>王者归来</cp:lastModifiedBy>
  <cp:lastPrinted>2019-03-12T13:43:00Z</cp:lastPrinted>
  <dcterms:modified xsi:type="dcterms:W3CDTF">2021-05-24T07:35:15Z</dcterms:modified>
  <dc:title>空调成套工程合同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05E67BF44A7741D5BC6C995F4E317EE3</vt:lpwstr>
  </property>
</Properties>
</file>